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CE" w:rsidRPr="00D62FCE" w:rsidRDefault="00D62FCE" w:rsidP="00170EB6">
      <w:pPr>
        <w:spacing w:line="240" w:lineRule="auto"/>
        <w:jc w:val="center"/>
        <w:rPr>
          <w:rFonts w:ascii="Arial" w:hAnsi="Arial" w:cs="Arial"/>
          <w:b/>
          <w:sz w:val="24"/>
          <w:szCs w:val="20"/>
        </w:rPr>
      </w:pPr>
      <w:r w:rsidRPr="00D62FCE">
        <w:rPr>
          <w:rFonts w:ascii="Arial" w:hAnsi="Arial" w:cs="Arial"/>
          <w:b/>
          <w:sz w:val="24"/>
          <w:szCs w:val="20"/>
        </w:rPr>
        <w:t>Zmluva o združenej dodávke zemného plynu</w:t>
      </w:r>
    </w:p>
    <w:p w:rsidR="00D62FCE" w:rsidRPr="00D62FCE" w:rsidRDefault="00D62FCE" w:rsidP="00170EB6">
      <w:pPr>
        <w:spacing w:line="240" w:lineRule="auto"/>
        <w:jc w:val="both"/>
        <w:rPr>
          <w:rFonts w:ascii="Arial" w:hAnsi="Arial" w:cs="Arial"/>
          <w:sz w:val="20"/>
          <w:szCs w:val="20"/>
        </w:rPr>
      </w:pPr>
      <w:r w:rsidRPr="00D62FCE">
        <w:rPr>
          <w:rFonts w:ascii="Arial" w:hAnsi="Arial" w:cs="Arial"/>
          <w:sz w:val="20"/>
          <w:szCs w:val="20"/>
        </w:rPr>
        <w:t>uzatvorená podľa ustanovenia § 409 a nasl. zákona č. 513/1991 Zb. Obchodný zákonník</w:t>
      </w:r>
      <w:r w:rsidR="009D0E72">
        <w:rPr>
          <w:rFonts w:ascii="Arial" w:hAnsi="Arial" w:cs="Arial"/>
          <w:sz w:val="20"/>
          <w:szCs w:val="20"/>
        </w:rPr>
        <w:t xml:space="preserve"> </w:t>
      </w:r>
      <w:r w:rsidRPr="00D62FCE">
        <w:rPr>
          <w:rFonts w:ascii="Arial" w:hAnsi="Arial" w:cs="Arial"/>
          <w:sz w:val="20"/>
          <w:szCs w:val="20"/>
        </w:rPr>
        <w:t>v znení neskorších predpisov, zákona č. 251/2012 Z.z. o energetike a o zmene a doplnení niektorých zákonov v znení neskorších predpisov a vyhlášky Úradu pre reguláciu sieťových odvet</w:t>
      </w:r>
      <w:r w:rsidR="001E7FC9">
        <w:rPr>
          <w:rFonts w:ascii="Arial" w:hAnsi="Arial" w:cs="Arial"/>
          <w:sz w:val="20"/>
          <w:szCs w:val="20"/>
        </w:rPr>
        <w:t xml:space="preserve">ví č. 24/2013 Z. z., ktorou sa </w:t>
      </w:r>
      <w:r w:rsidRPr="00D62FCE">
        <w:rPr>
          <w:rFonts w:ascii="Arial" w:hAnsi="Arial" w:cs="Arial"/>
          <w:sz w:val="20"/>
          <w:szCs w:val="20"/>
        </w:rPr>
        <w:t>ustanovujú pravidlá pre fungovanie vnútorného trhu s elektrinou a pravidlá pre fungovanie vnútorného trhu s plynom a ďalších vykonávacích predpisov v znení neskorších predpisov</w:t>
      </w:r>
    </w:p>
    <w:p w:rsidR="00D62FCE" w:rsidRPr="00D62FCE" w:rsidRDefault="00D62FCE" w:rsidP="008E4BAF">
      <w:pPr>
        <w:spacing w:line="240" w:lineRule="auto"/>
        <w:jc w:val="center"/>
        <w:rPr>
          <w:rFonts w:ascii="Arial" w:hAnsi="Arial" w:cs="Arial"/>
          <w:sz w:val="20"/>
          <w:szCs w:val="20"/>
        </w:rPr>
      </w:pPr>
      <w:r w:rsidRPr="00D62FCE">
        <w:rPr>
          <w:rFonts w:ascii="Arial" w:hAnsi="Arial" w:cs="Arial"/>
          <w:sz w:val="20"/>
          <w:szCs w:val="20"/>
        </w:rPr>
        <w:t xml:space="preserve">(ďalej len </w:t>
      </w:r>
      <w:r w:rsidRPr="00D62FCE">
        <w:rPr>
          <w:rFonts w:ascii="Arial" w:hAnsi="Arial" w:cs="Arial"/>
          <w:b/>
          <w:sz w:val="20"/>
          <w:szCs w:val="20"/>
        </w:rPr>
        <w:t>„Zmluva“)</w:t>
      </w:r>
    </w:p>
    <w:p w:rsidR="00D62FCE" w:rsidRPr="00D62FCE" w:rsidRDefault="00D62FCE" w:rsidP="008E4BAF">
      <w:pPr>
        <w:spacing w:line="240" w:lineRule="auto"/>
        <w:jc w:val="center"/>
        <w:rPr>
          <w:rFonts w:ascii="Arial" w:hAnsi="Arial" w:cs="Arial"/>
          <w:sz w:val="20"/>
          <w:szCs w:val="20"/>
        </w:rPr>
      </w:pPr>
      <w:r w:rsidRPr="00D62FCE">
        <w:rPr>
          <w:rFonts w:ascii="Arial" w:hAnsi="Arial" w:cs="Arial"/>
          <w:sz w:val="20"/>
          <w:szCs w:val="20"/>
        </w:rPr>
        <w:t>medzi</w:t>
      </w:r>
    </w:p>
    <w:p w:rsidR="00D62FCE" w:rsidRDefault="00D62FCE" w:rsidP="00D20DEF">
      <w:pPr>
        <w:pStyle w:val="lnky"/>
      </w:pPr>
    </w:p>
    <w:p w:rsidR="00D62FCE" w:rsidRPr="00170EB6" w:rsidRDefault="00D62FCE" w:rsidP="00170EB6">
      <w:pPr>
        <w:spacing w:line="240" w:lineRule="auto"/>
        <w:jc w:val="center"/>
        <w:rPr>
          <w:rFonts w:ascii="Arial" w:hAnsi="Arial" w:cs="Arial"/>
          <w:b/>
          <w:szCs w:val="20"/>
        </w:rPr>
      </w:pPr>
      <w:r w:rsidRPr="00170EB6">
        <w:rPr>
          <w:rFonts w:ascii="Arial" w:hAnsi="Arial" w:cs="Arial"/>
          <w:b/>
          <w:szCs w:val="20"/>
        </w:rPr>
        <w:t>Zmluvné strany</w:t>
      </w:r>
    </w:p>
    <w:p w:rsidR="00B23688" w:rsidRPr="00B23688" w:rsidRDefault="00D62FCE" w:rsidP="00D20DEF">
      <w:pPr>
        <w:pStyle w:val="Podkapitoly"/>
        <w:spacing w:after="0"/>
        <w:rPr>
          <w:b/>
        </w:rPr>
      </w:pPr>
      <w:r w:rsidRPr="00B23688">
        <w:rPr>
          <w:b/>
        </w:rPr>
        <w:t>Dodávateľ:</w:t>
      </w:r>
    </w:p>
    <w:p w:rsidR="00B23688" w:rsidRDefault="00D62FCE" w:rsidP="00D20DEF">
      <w:pPr>
        <w:pStyle w:val="Podkapitoly"/>
        <w:numPr>
          <w:ilvl w:val="0"/>
          <w:numId w:val="0"/>
        </w:numPr>
        <w:spacing w:after="0"/>
        <w:ind w:left="851"/>
        <w:jc w:val="both"/>
      </w:pPr>
      <w:r w:rsidRPr="00D36E49">
        <w:t>Obchodné meno:</w:t>
      </w:r>
      <w:r w:rsidRPr="00D36E49">
        <w:tab/>
      </w:r>
      <w:r w:rsidRPr="006B6003">
        <w:rPr>
          <w:b/>
        </w:rPr>
        <w:t>VEMEX ENERGO s.r.o.</w:t>
      </w:r>
    </w:p>
    <w:p w:rsidR="00B23688" w:rsidRDefault="0045026E" w:rsidP="00D20DEF">
      <w:pPr>
        <w:pStyle w:val="Podkapitoly"/>
        <w:numPr>
          <w:ilvl w:val="0"/>
          <w:numId w:val="0"/>
        </w:numPr>
        <w:spacing w:after="0"/>
        <w:ind w:left="851"/>
        <w:jc w:val="both"/>
      </w:pPr>
      <w:r>
        <w:t>so sídlom:</w:t>
      </w:r>
      <w:r>
        <w:tab/>
      </w:r>
      <w:r w:rsidR="00B23688">
        <w:tab/>
      </w:r>
      <w:r w:rsidR="001E7FC9">
        <w:t xml:space="preserve">Moyzesova 936/5, 811 05 </w:t>
      </w:r>
      <w:r w:rsidR="00D62FCE" w:rsidRPr="00D62FCE">
        <w:t>Bratislava</w:t>
      </w:r>
    </w:p>
    <w:p w:rsidR="00B23688" w:rsidRDefault="00D62FCE" w:rsidP="00D20DEF">
      <w:pPr>
        <w:pStyle w:val="Podkapitoly"/>
        <w:numPr>
          <w:ilvl w:val="0"/>
          <w:numId w:val="0"/>
        </w:numPr>
        <w:spacing w:after="0"/>
        <w:ind w:left="2831" w:hanging="1980"/>
        <w:jc w:val="both"/>
      </w:pPr>
      <w:r w:rsidRPr="00D62FCE">
        <w:t xml:space="preserve">Zastúpený: </w:t>
      </w:r>
      <w:r w:rsidRPr="00D62FCE">
        <w:tab/>
      </w:r>
      <w:r w:rsidR="00B23688">
        <w:tab/>
      </w:r>
      <w:r w:rsidRPr="00D62FCE">
        <w:t>Ing. Štefan Koman, generálny riaditeľ na základe generálnej plnej moci zo dňa 22.05.2012</w:t>
      </w:r>
    </w:p>
    <w:p w:rsidR="00B23688" w:rsidRDefault="00B23688" w:rsidP="00D20DEF">
      <w:pPr>
        <w:pStyle w:val="Podkapitoly"/>
        <w:numPr>
          <w:ilvl w:val="0"/>
          <w:numId w:val="0"/>
        </w:numPr>
        <w:spacing w:after="0"/>
        <w:ind w:left="2124" w:hanging="1273"/>
        <w:jc w:val="both"/>
      </w:pPr>
      <w:r>
        <w:t xml:space="preserve">IČO: </w:t>
      </w:r>
      <w:r>
        <w:tab/>
      </w:r>
      <w:r>
        <w:tab/>
      </w:r>
      <w:r w:rsidR="00D62FCE" w:rsidRPr="00D62FCE">
        <w:t>35 853</w:t>
      </w:r>
      <w:r>
        <w:t> </w:t>
      </w:r>
      <w:r w:rsidR="00D62FCE" w:rsidRPr="00D62FCE">
        <w:t xml:space="preserve">441 </w:t>
      </w:r>
    </w:p>
    <w:p w:rsidR="00B23688" w:rsidRDefault="00D62FCE" w:rsidP="00D20DEF">
      <w:pPr>
        <w:pStyle w:val="Podkapitoly"/>
        <w:numPr>
          <w:ilvl w:val="0"/>
          <w:numId w:val="0"/>
        </w:numPr>
        <w:spacing w:after="0"/>
        <w:ind w:left="2124" w:hanging="1273"/>
        <w:jc w:val="both"/>
      </w:pPr>
      <w:r w:rsidRPr="00D62FCE">
        <w:t>DIČ:</w:t>
      </w:r>
      <w:r w:rsidRPr="00D62FCE">
        <w:tab/>
      </w:r>
      <w:r w:rsidR="00B23688">
        <w:tab/>
      </w:r>
      <w:r w:rsidRPr="00D62FCE">
        <w:t>2021762556</w:t>
      </w:r>
    </w:p>
    <w:p w:rsidR="00B23688" w:rsidRDefault="00D62FCE" w:rsidP="00D20DEF">
      <w:pPr>
        <w:pStyle w:val="Podkapitoly"/>
        <w:numPr>
          <w:ilvl w:val="0"/>
          <w:numId w:val="0"/>
        </w:numPr>
        <w:spacing w:after="0"/>
        <w:ind w:left="2124" w:hanging="1273"/>
        <w:jc w:val="both"/>
      </w:pPr>
      <w:r w:rsidRPr="00D62FCE">
        <w:t>IČ DPH:</w:t>
      </w:r>
      <w:r w:rsidRPr="00D62FCE">
        <w:tab/>
      </w:r>
      <w:r w:rsidR="00B23688">
        <w:tab/>
      </w:r>
      <w:r w:rsidRPr="00D62FCE">
        <w:t>SK2021762556</w:t>
      </w:r>
    </w:p>
    <w:p w:rsidR="00B23688" w:rsidRPr="006B6003" w:rsidRDefault="00B23688" w:rsidP="00D20DEF">
      <w:pPr>
        <w:pStyle w:val="Podkapitoly"/>
        <w:numPr>
          <w:ilvl w:val="0"/>
          <w:numId w:val="0"/>
        </w:numPr>
        <w:spacing w:after="0"/>
        <w:ind w:left="2124" w:hanging="1273"/>
        <w:jc w:val="both"/>
      </w:pPr>
      <w:r w:rsidRPr="006B6003">
        <w:t xml:space="preserve">Banka: </w:t>
      </w:r>
      <w:r w:rsidRPr="006B6003">
        <w:tab/>
      </w:r>
      <w:r w:rsidRPr="006B6003">
        <w:tab/>
      </w:r>
      <w:r w:rsidR="006B6003" w:rsidRPr="006B6003">
        <w:t>Komerční banka, a.s., pobočka zahraničnej banky</w:t>
      </w:r>
      <w:r w:rsidR="00D62FCE" w:rsidRPr="006B6003">
        <w:tab/>
      </w:r>
    </w:p>
    <w:p w:rsidR="006B6003" w:rsidRPr="006B6003" w:rsidRDefault="00B23688" w:rsidP="00D20DEF">
      <w:pPr>
        <w:pStyle w:val="Podkapitoly"/>
        <w:numPr>
          <w:ilvl w:val="0"/>
          <w:numId w:val="0"/>
        </w:numPr>
        <w:spacing w:after="0"/>
        <w:ind w:left="2124" w:hanging="1273"/>
        <w:jc w:val="both"/>
      </w:pPr>
      <w:r w:rsidRPr="006B6003">
        <w:t xml:space="preserve">Číslo účtu: </w:t>
      </w:r>
      <w:r w:rsidRPr="006B6003">
        <w:tab/>
      </w:r>
      <w:r w:rsidRPr="006B6003">
        <w:tab/>
      </w:r>
      <w:r w:rsidR="006B6003" w:rsidRPr="006B6003">
        <w:t>43-5300810227/8100</w:t>
      </w:r>
    </w:p>
    <w:p w:rsidR="00B23688" w:rsidRPr="006B6003" w:rsidRDefault="00B23688" w:rsidP="00D20DEF">
      <w:pPr>
        <w:pStyle w:val="Podkapitoly"/>
        <w:numPr>
          <w:ilvl w:val="0"/>
          <w:numId w:val="0"/>
        </w:numPr>
        <w:spacing w:after="0"/>
        <w:ind w:left="2124" w:hanging="1273"/>
        <w:jc w:val="both"/>
      </w:pPr>
      <w:r w:rsidRPr="006B6003">
        <w:t xml:space="preserve">IBAN: </w:t>
      </w:r>
      <w:r w:rsidRPr="006B6003">
        <w:tab/>
      </w:r>
      <w:r w:rsidRPr="006B6003">
        <w:tab/>
      </w:r>
      <w:r w:rsidR="006B6003" w:rsidRPr="006B6003">
        <w:t>SK60 8100 0000 4353 0081 0227</w:t>
      </w:r>
      <w:r w:rsidRPr="006B6003">
        <w:tab/>
      </w:r>
    </w:p>
    <w:p w:rsidR="00B23688" w:rsidRDefault="00D62FCE" w:rsidP="00D20DEF">
      <w:pPr>
        <w:pStyle w:val="Podkapitoly"/>
        <w:numPr>
          <w:ilvl w:val="0"/>
          <w:numId w:val="0"/>
        </w:numPr>
        <w:spacing w:after="0"/>
        <w:ind w:left="2124" w:hanging="1273"/>
        <w:jc w:val="both"/>
      </w:pPr>
      <w:r w:rsidRPr="006B6003">
        <w:t xml:space="preserve">SWIFT/BIC: </w:t>
      </w:r>
      <w:r w:rsidRPr="006B6003">
        <w:tab/>
      </w:r>
      <w:r w:rsidR="00B23688" w:rsidRPr="006B6003">
        <w:tab/>
      </w:r>
      <w:r w:rsidR="006B6003" w:rsidRPr="006B6003">
        <w:t>KOMBSKBA</w:t>
      </w:r>
      <w:r w:rsidRPr="00D62FCE">
        <w:tab/>
      </w:r>
    </w:p>
    <w:p w:rsidR="00B23688" w:rsidRDefault="00D62FCE" w:rsidP="00D20DEF">
      <w:pPr>
        <w:pStyle w:val="Podkapitoly"/>
        <w:numPr>
          <w:ilvl w:val="0"/>
          <w:numId w:val="0"/>
        </w:numPr>
        <w:spacing w:after="0"/>
        <w:ind w:left="2124" w:hanging="1273"/>
        <w:jc w:val="both"/>
      </w:pPr>
      <w:r w:rsidRPr="00D62FCE">
        <w:t>Obchodná spoločnosť je zapísaná v Obchodnom registri Okre</w:t>
      </w:r>
      <w:r w:rsidR="00B23688">
        <w:t>sného súdu Bratislava I, oddiel</w:t>
      </w:r>
    </w:p>
    <w:p w:rsidR="00B23688" w:rsidRDefault="00D62FCE" w:rsidP="00D20DEF">
      <w:pPr>
        <w:pStyle w:val="Podkapitoly"/>
        <w:numPr>
          <w:ilvl w:val="0"/>
          <w:numId w:val="0"/>
        </w:numPr>
        <w:spacing w:after="0"/>
        <w:ind w:left="2124" w:hanging="1273"/>
        <w:jc w:val="both"/>
      </w:pPr>
      <w:r w:rsidRPr="00D62FCE">
        <w:t xml:space="preserve">Sro, vložka číslo 28369/B </w:t>
      </w:r>
    </w:p>
    <w:p w:rsidR="00D62FCE" w:rsidRDefault="00D62FCE" w:rsidP="00D20DEF">
      <w:pPr>
        <w:pStyle w:val="Podkapitoly"/>
        <w:numPr>
          <w:ilvl w:val="0"/>
          <w:numId w:val="0"/>
        </w:numPr>
        <w:spacing w:after="0"/>
        <w:ind w:left="2124" w:hanging="1273"/>
        <w:jc w:val="both"/>
      </w:pPr>
      <w:r w:rsidRPr="00D62FCE">
        <w:t>(ďalej len „</w:t>
      </w:r>
      <w:r w:rsidRPr="008E4BAF">
        <w:rPr>
          <w:b/>
        </w:rPr>
        <w:t>Dodávateľ</w:t>
      </w:r>
      <w:r w:rsidRPr="00D62FCE">
        <w:t>“)</w:t>
      </w:r>
    </w:p>
    <w:p w:rsidR="006B6003" w:rsidRDefault="006B6003" w:rsidP="00D20DEF">
      <w:pPr>
        <w:pStyle w:val="Podkapitoly"/>
        <w:numPr>
          <w:ilvl w:val="0"/>
          <w:numId w:val="0"/>
        </w:numPr>
        <w:spacing w:after="0"/>
        <w:ind w:left="2124" w:hanging="1273"/>
        <w:jc w:val="both"/>
      </w:pPr>
    </w:p>
    <w:p w:rsidR="006B6003" w:rsidRDefault="006B6003" w:rsidP="00D20DEF">
      <w:pPr>
        <w:pStyle w:val="Podkapitoly"/>
        <w:numPr>
          <w:ilvl w:val="0"/>
          <w:numId w:val="0"/>
        </w:numPr>
        <w:spacing w:after="0"/>
        <w:ind w:left="2124" w:hanging="1273"/>
        <w:jc w:val="both"/>
      </w:pPr>
    </w:p>
    <w:p w:rsidR="006B6003" w:rsidRPr="00B23688" w:rsidRDefault="006B6003" w:rsidP="00D20DEF">
      <w:pPr>
        <w:pStyle w:val="Podkapitoly"/>
        <w:numPr>
          <w:ilvl w:val="0"/>
          <w:numId w:val="0"/>
        </w:numPr>
        <w:spacing w:after="0"/>
        <w:ind w:left="2124" w:hanging="1273"/>
        <w:jc w:val="both"/>
      </w:pPr>
    </w:p>
    <w:p w:rsidR="00D62FCE" w:rsidRDefault="006B6003" w:rsidP="00170EB6">
      <w:pPr>
        <w:spacing w:line="240" w:lineRule="auto"/>
        <w:jc w:val="both"/>
        <w:rPr>
          <w:rFonts w:ascii="Arial" w:hAnsi="Arial" w:cs="Arial"/>
          <w:sz w:val="20"/>
          <w:szCs w:val="20"/>
        </w:rPr>
      </w:pPr>
      <w:r>
        <w:rPr>
          <w:rFonts w:ascii="Arial" w:hAnsi="Arial" w:cs="Arial"/>
          <w:sz w:val="20"/>
          <w:szCs w:val="20"/>
        </w:rPr>
        <w:t>a</w:t>
      </w:r>
    </w:p>
    <w:p w:rsidR="006B6003" w:rsidRDefault="006B6003" w:rsidP="00170EB6">
      <w:pPr>
        <w:spacing w:line="240" w:lineRule="auto"/>
        <w:jc w:val="both"/>
        <w:rPr>
          <w:rFonts w:ascii="Arial" w:hAnsi="Arial" w:cs="Arial"/>
          <w:sz w:val="20"/>
          <w:szCs w:val="20"/>
        </w:rPr>
      </w:pPr>
    </w:p>
    <w:p w:rsidR="006B6003" w:rsidRPr="00D62FCE" w:rsidRDefault="006B6003" w:rsidP="00170EB6">
      <w:pPr>
        <w:spacing w:line="240" w:lineRule="auto"/>
        <w:jc w:val="both"/>
        <w:rPr>
          <w:rFonts w:ascii="Arial" w:hAnsi="Arial" w:cs="Arial"/>
          <w:sz w:val="20"/>
          <w:szCs w:val="20"/>
        </w:rPr>
      </w:pPr>
    </w:p>
    <w:p w:rsidR="00B23688" w:rsidRDefault="00D62FCE" w:rsidP="00D20DEF">
      <w:pPr>
        <w:pStyle w:val="Podkapitoly"/>
        <w:spacing w:after="0"/>
        <w:rPr>
          <w:b/>
        </w:rPr>
      </w:pPr>
      <w:r w:rsidRPr="00B23688">
        <w:rPr>
          <w:b/>
        </w:rPr>
        <w:t>Odberateľ:</w:t>
      </w:r>
      <w:r w:rsidR="00B23688">
        <w:rPr>
          <w:b/>
        </w:rPr>
        <w:tab/>
      </w:r>
      <w:r w:rsidR="00B23688">
        <w:rPr>
          <w:b/>
        </w:rPr>
        <w:tab/>
      </w:r>
    </w:p>
    <w:p w:rsidR="00B23688" w:rsidRDefault="00D62FCE" w:rsidP="00D20DEF">
      <w:pPr>
        <w:pStyle w:val="Podkapitoly"/>
        <w:numPr>
          <w:ilvl w:val="0"/>
          <w:numId w:val="0"/>
        </w:numPr>
        <w:spacing w:after="0"/>
        <w:ind w:left="851"/>
        <w:jc w:val="both"/>
        <w:rPr>
          <w:b/>
        </w:rPr>
      </w:pPr>
      <w:r w:rsidRPr="00D36E49">
        <w:t>Obchodné meno:</w:t>
      </w:r>
      <w:r w:rsidR="00B23688">
        <w:tab/>
      </w:r>
      <w:r w:rsidR="006B6003" w:rsidRPr="006B6003">
        <w:rPr>
          <w:b/>
        </w:rPr>
        <w:t>KSP, s.r.o.</w:t>
      </w:r>
    </w:p>
    <w:p w:rsidR="00B23688" w:rsidRDefault="00D62FCE" w:rsidP="00D20DEF">
      <w:pPr>
        <w:pStyle w:val="Podkapitoly"/>
        <w:numPr>
          <w:ilvl w:val="0"/>
          <w:numId w:val="0"/>
        </w:numPr>
        <w:spacing w:after="0"/>
        <w:ind w:left="851"/>
        <w:jc w:val="both"/>
        <w:rPr>
          <w:b/>
        </w:rPr>
      </w:pPr>
      <w:r w:rsidRPr="00D62FCE">
        <w:t xml:space="preserve">so sídlom: </w:t>
      </w:r>
      <w:r w:rsidR="00B23688">
        <w:tab/>
      </w:r>
      <w:r w:rsidR="00B23688">
        <w:tab/>
      </w:r>
      <w:r w:rsidR="006B6003" w:rsidRPr="006B6003">
        <w:t>Vajnorská ulica 135</w:t>
      </w:r>
      <w:r w:rsidR="006B6003">
        <w:t>, 831 04 Bratislava</w:t>
      </w:r>
    </w:p>
    <w:p w:rsidR="00B23688" w:rsidRDefault="00D62FCE" w:rsidP="00D20DEF">
      <w:pPr>
        <w:pStyle w:val="Podkapitoly"/>
        <w:numPr>
          <w:ilvl w:val="0"/>
          <w:numId w:val="0"/>
        </w:numPr>
        <w:spacing w:after="0"/>
        <w:ind w:left="851"/>
        <w:jc w:val="both"/>
      </w:pPr>
      <w:r w:rsidRPr="00D62FCE">
        <w:t xml:space="preserve">zastúpený: </w:t>
      </w:r>
      <w:r w:rsidR="00B23688">
        <w:tab/>
      </w:r>
      <w:r w:rsidR="00B23688">
        <w:tab/>
      </w:r>
      <w:r w:rsidR="006B6003">
        <w:t>Róbert M</w:t>
      </w:r>
      <w:r w:rsidR="006B6003" w:rsidRPr="006B6003">
        <w:t>üller</w:t>
      </w:r>
      <w:r w:rsidR="006B6003">
        <w:t>, konateľ</w:t>
      </w:r>
    </w:p>
    <w:p w:rsidR="006B6003" w:rsidRDefault="006B6003" w:rsidP="00D20DEF">
      <w:pPr>
        <w:pStyle w:val="Podkapitoly"/>
        <w:numPr>
          <w:ilvl w:val="0"/>
          <w:numId w:val="0"/>
        </w:numPr>
        <w:spacing w:after="0"/>
        <w:ind w:left="851"/>
        <w:jc w:val="both"/>
      </w:pPr>
      <w:r>
        <w:tab/>
      </w:r>
      <w:r>
        <w:tab/>
      </w:r>
      <w:r>
        <w:tab/>
        <w:t>Branislav Šitina, konateľ</w:t>
      </w:r>
    </w:p>
    <w:p w:rsidR="006B6003" w:rsidRDefault="006B6003" w:rsidP="00D20DEF">
      <w:pPr>
        <w:pStyle w:val="Podkapitoly"/>
        <w:numPr>
          <w:ilvl w:val="0"/>
          <w:numId w:val="0"/>
        </w:numPr>
        <w:spacing w:after="0"/>
        <w:ind w:left="851"/>
        <w:jc w:val="both"/>
        <w:rPr>
          <w:b/>
        </w:rPr>
      </w:pPr>
      <w:r>
        <w:tab/>
      </w:r>
      <w:r>
        <w:tab/>
      </w:r>
      <w:r>
        <w:tab/>
        <w:t>Ing. Pavol Špaček, konateľ</w:t>
      </w:r>
    </w:p>
    <w:p w:rsidR="00B23688" w:rsidRDefault="00D62FCE" w:rsidP="00D20DEF">
      <w:pPr>
        <w:pStyle w:val="Podkapitoly"/>
        <w:numPr>
          <w:ilvl w:val="0"/>
          <w:numId w:val="0"/>
        </w:numPr>
        <w:spacing w:after="0"/>
        <w:ind w:left="851"/>
        <w:jc w:val="both"/>
        <w:rPr>
          <w:b/>
        </w:rPr>
      </w:pPr>
      <w:r w:rsidRPr="00D62FCE">
        <w:t>IČO:</w:t>
      </w:r>
      <w:r w:rsidR="00B23688">
        <w:tab/>
      </w:r>
      <w:r w:rsidR="00B23688">
        <w:tab/>
      </w:r>
      <w:r w:rsidRPr="00D62FCE">
        <w:t xml:space="preserve"> </w:t>
      </w:r>
      <w:r w:rsidR="00B23688">
        <w:rPr>
          <w:b/>
        </w:rPr>
        <w:tab/>
      </w:r>
      <w:r w:rsidR="006B6003" w:rsidRPr="006B6003">
        <w:t>35 847 689</w:t>
      </w:r>
    </w:p>
    <w:p w:rsidR="00B23688" w:rsidRPr="006B6003" w:rsidRDefault="00D62FCE" w:rsidP="00D20DEF">
      <w:pPr>
        <w:pStyle w:val="Podkapitoly"/>
        <w:numPr>
          <w:ilvl w:val="0"/>
          <w:numId w:val="0"/>
        </w:numPr>
        <w:spacing w:after="0"/>
        <w:ind w:left="851"/>
        <w:jc w:val="both"/>
      </w:pPr>
      <w:r w:rsidRPr="00D62FCE">
        <w:t>DIČ:</w:t>
      </w:r>
      <w:r w:rsidR="00B23688">
        <w:rPr>
          <w:b/>
        </w:rPr>
        <w:tab/>
      </w:r>
      <w:r w:rsidR="00B23688">
        <w:rPr>
          <w:b/>
        </w:rPr>
        <w:tab/>
      </w:r>
      <w:r w:rsidR="00B23688">
        <w:rPr>
          <w:b/>
        </w:rPr>
        <w:tab/>
      </w:r>
      <w:r w:rsidR="0098714A">
        <w:t>2021</w:t>
      </w:r>
      <w:r w:rsidR="006B6003" w:rsidRPr="006B6003">
        <w:t>700637</w:t>
      </w:r>
    </w:p>
    <w:p w:rsidR="00B23688" w:rsidRPr="006B6003" w:rsidRDefault="00D62FCE" w:rsidP="00D20DEF">
      <w:pPr>
        <w:pStyle w:val="Podkapitoly"/>
        <w:numPr>
          <w:ilvl w:val="0"/>
          <w:numId w:val="0"/>
        </w:numPr>
        <w:spacing w:after="0"/>
        <w:ind w:left="851"/>
        <w:jc w:val="both"/>
      </w:pPr>
      <w:r w:rsidRPr="006B6003">
        <w:t xml:space="preserve">IČ DPH: </w:t>
      </w:r>
      <w:r w:rsidR="00B23688" w:rsidRPr="006B6003">
        <w:tab/>
      </w:r>
      <w:r w:rsidR="00B23688" w:rsidRPr="006B6003">
        <w:tab/>
      </w:r>
      <w:r w:rsidR="0098714A">
        <w:t>SK2021</w:t>
      </w:r>
      <w:r w:rsidR="006B6003" w:rsidRPr="006B6003">
        <w:t>700637</w:t>
      </w:r>
    </w:p>
    <w:p w:rsidR="00B23688" w:rsidRPr="006B6003" w:rsidRDefault="00D62FCE" w:rsidP="00D20DEF">
      <w:pPr>
        <w:pStyle w:val="Podkapitoly"/>
        <w:numPr>
          <w:ilvl w:val="0"/>
          <w:numId w:val="0"/>
        </w:numPr>
        <w:spacing w:after="0"/>
        <w:ind w:left="851"/>
        <w:jc w:val="both"/>
      </w:pPr>
      <w:r w:rsidRPr="006B6003">
        <w:t>Banka:</w:t>
      </w:r>
      <w:r w:rsidR="00B23688" w:rsidRPr="006B6003">
        <w:tab/>
      </w:r>
      <w:r w:rsidR="00B23688" w:rsidRPr="006B6003">
        <w:tab/>
      </w:r>
      <w:r w:rsidR="006B6003" w:rsidRPr="006B6003">
        <w:t>Prima banka Slovensko, a.s., Bratislava</w:t>
      </w:r>
    </w:p>
    <w:p w:rsidR="00B23688" w:rsidRPr="006B6003" w:rsidRDefault="00D62FCE" w:rsidP="00D20DEF">
      <w:pPr>
        <w:pStyle w:val="Podkapitoly"/>
        <w:numPr>
          <w:ilvl w:val="0"/>
          <w:numId w:val="0"/>
        </w:numPr>
        <w:spacing w:after="0"/>
        <w:ind w:left="851"/>
        <w:jc w:val="both"/>
      </w:pPr>
      <w:r w:rsidRPr="006B6003">
        <w:t xml:space="preserve">Číslo účtu: </w:t>
      </w:r>
      <w:r w:rsidR="00B23688" w:rsidRPr="006B6003">
        <w:tab/>
      </w:r>
      <w:r w:rsidR="00B23688" w:rsidRPr="006B6003">
        <w:tab/>
      </w:r>
      <w:r w:rsidR="006B6003" w:rsidRPr="006B6003">
        <w:t>4853725001/5600</w:t>
      </w:r>
    </w:p>
    <w:p w:rsidR="00B23688" w:rsidRPr="006B6003" w:rsidRDefault="00B23688" w:rsidP="00D20DEF">
      <w:pPr>
        <w:pStyle w:val="Podkapitoly"/>
        <w:numPr>
          <w:ilvl w:val="0"/>
          <w:numId w:val="0"/>
        </w:numPr>
        <w:spacing w:after="0"/>
        <w:ind w:left="851"/>
        <w:jc w:val="both"/>
      </w:pPr>
      <w:r w:rsidRPr="006B6003">
        <w:t xml:space="preserve">IBAN: </w:t>
      </w:r>
      <w:r w:rsidRPr="006B6003">
        <w:tab/>
      </w:r>
      <w:r w:rsidRPr="006B6003">
        <w:tab/>
      </w:r>
      <w:r w:rsidR="006B6003" w:rsidRPr="006B6003">
        <w:t>SK 53 5600 0000 0048 5372 5001</w:t>
      </w:r>
    </w:p>
    <w:p w:rsidR="00B23688" w:rsidRPr="006B6003" w:rsidRDefault="00D62FCE" w:rsidP="00D20DEF">
      <w:pPr>
        <w:pStyle w:val="Podkapitoly"/>
        <w:numPr>
          <w:ilvl w:val="0"/>
          <w:numId w:val="0"/>
        </w:numPr>
        <w:spacing w:after="0"/>
        <w:ind w:left="851"/>
        <w:jc w:val="both"/>
      </w:pPr>
      <w:r w:rsidRPr="006B6003">
        <w:t xml:space="preserve">SWIFT/BIC: </w:t>
      </w:r>
      <w:r w:rsidRPr="006B6003">
        <w:tab/>
      </w:r>
      <w:r w:rsidRPr="006B6003">
        <w:tab/>
      </w:r>
      <w:r w:rsidR="006B6003" w:rsidRPr="006B6003">
        <w:t>KOMASK2X</w:t>
      </w:r>
    </w:p>
    <w:p w:rsidR="00B23688" w:rsidRDefault="00D62FCE" w:rsidP="00D20DEF">
      <w:pPr>
        <w:pStyle w:val="Podkapitoly"/>
        <w:numPr>
          <w:ilvl w:val="0"/>
          <w:numId w:val="0"/>
        </w:numPr>
        <w:spacing w:after="0"/>
        <w:ind w:left="851"/>
        <w:jc w:val="both"/>
        <w:rPr>
          <w:b/>
        </w:rPr>
      </w:pPr>
      <w:r w:rsidRPr="00D62FCE">
        <w:t xml:space="preserve">Obchodná spoločnosť je zapísaná v Obchodnom registri Okresného súdu </w:t>
      </w:r>
      <w:r w:rsidR="006B6003">
        <w:t>Bratislava I, oddiel Sro, vložka číslo 27764/B</w:t>
      </w:r>
    </w:p>
    <w:p w:rsidR="00B23688" w:rsidRDefault="00D62FCE" w:rsidP="00D20DEF">
      <w:pPr>
        <w:pStyle w:val="Podkapitoly"/>
        <w:numPr>
          <w:ilvl w:val="0"/>
          <w:numId w:val="0"/>
        </w:numPr>
        <w:spacing w:after="0"/>
        <w:ind w:left="851"/>
        <w:jc w:val="both"/>
      </w:pPr>
      <w:r w:rsidRPr="00D62FCE">
        <w:t>(ďalej len „</w:t>
      </w:r>
      <w:r w:rsidRPr="008E4BAF">
        <w:rPr>
          <w:b/>
        </w:rPr>
        <w:t>Odberateľ</w:t>
      </w:r>
      <w:r w:rsidRPr="00D62FCE">
        <w:t>“)</w:t>
      </w:r>
    </w:p>
    <w:p w:rsidR="006B6003" w:rsidRDefault="006B6003" w:rsidP="00D20DEF">
      <w:pPr>
        <w:pStyle w:val="Podkapitoly"/>
        <w:numPr>
          <w:ilvl w:val="0"/>
          <w:numId w:val="0"/>
        </w:numPr>
        <w:spacing w:after="0"/>
        <w:ind w:left="851"/>
        <w:jc w:val="both"/>
        <w:rPr>
          <w:b/>
        </w:rPr>
      </w:pPr>
    </w:p>
    <w:p w:rsidR="00D36E49" w:rsidRDefault="00D62FCE" w:rsidP="00D20DEF">
      <w:pPr>
        <w:pStyle w:val="Podkapitoly"/>
        <w:numPr>
          <w:ilvl w:val="0"/>
          <w:numId w:val="0"/>
        </w:numPr>
        <w:spacing w:after="0"/>
        <w:ind w:left="851"/>
        <w:jc w:val="both"/>
      </w:pPr>
      <w:r w:rsidRPr="00D62FCE">
        <w:t>(„Dodávateľ“ a „Odberateľ“ spoločne ďalej len „</w:t>
      </w:r>
      <w:r w:rsidRPr="008E4BAF">
        <w:rPr>
          <w:b/>
        </w:rPr>
        <w:t>zmluvné strany</w:t>
      </w:r>
      <w:r w:rsidRPr="00D62FCE">
        <w:t>“)</w:t>
      </w:r>
    </w:p>
    <w:p w:rsidR="006B6003" w:rsidRDefault="006B6003" w:rsidP="00D20DEF">
      <w:pPr>
        <w:pStyle w:val="Podkapitoly"/>
        <w:numPr>
          <w:ilvl w:val="0"/>
          <w:numId w:val="0"/>
        </w:numPr>
        <w:spacing w:after="0"/>
        <w:ind w:left="851"/>
        <w:jc w:val="both"/>
        <w:rPr>
          <w:b/>
        </w:rPr>
      </w:pPr>
    </w:p>
    <w:p w:rsidR="006B6003" w:rsidRDefault="006B6003" w:rsidP="00D20DEF">
      <w:pPr>
        <w:pStyle w:val="Podkapitoly"/>
        <w:numPr>
          <w:ilvl w:val="0"/>
          <w:numId w:val="0"/>
        </w:numPr>
        <w:spacing w:after="0"/>
        <w:ind w:left="851"/>
        <w:jc w:val="both"/>
        <w:rPr>
          <w:b/>
        </w:rPr>
      </w:pPr>
    </w:p>
    <w:p w:rsidR="006B6003" w:rsidRPr="00B23688" w:rsidRDefault="006B6003" w:rsidP="00D20DEF">
      <w:pPr>
        <w:pStyle w:val="Podkapitoly"/>
        <w:numPr>
          <w:ilvl w:val="0"/>
          <w:numId w:val="0"/>
        </w:numPr>
        <w:spacing w:after="0"/>
        <w:ind w:left="851"/>
        <w:jc w:val="both"/>
        <w:rPr>
          <w:b/>
        </w:rPr>
      </w:pPr>
    </w:p>
    <w:p w:rsidR="00D36E49" w:rsidRDefault="00D36E49" w:rsidP="00B96530">
      <w:pPr>
        <w:pStyle w:val="lnky"/>
        <w:spacing w:before="240"/>
      </w:pPr>
    </w:p>
    <w:p w:rsidR="00D01CDA" w:rsidRDefault="00D62FCE" w:rsidP="00D01CDA">
      <w:pPr>
        <w:pStyle w:val="lnky"/>
        <w:numPr>
          <w:ilvl w:val="0"/>
          <w:numId w:val="0"/>
        </w:numPr>
        <w:spacing w:after="240" w:line="240" w:lineRule="auto"/>
        <w:rPr>
          <w:b/>
          <w:sz w:val="22"/>
        </w:rPr>
      </w:pPr>
      <w:r w:rsidRPr="00D36E49">
        <w:rPr>
          <w:b/>
          <w:sz w:val="22"/>
        </w:rPr>
        <w:t>Predmet Zmluvy</w:t>
      </w:r>
    </w:p>
    <w:p w:rsidR="00D36E49" w:rsidRDefault="00D62FCE" w:rsidP="00B23688">
      <w:pPr>
        <w:pStyle w:val="Podkapitoly"/>
        <w:jc w:val="both"/>
      </w:pPr>
      <w:r w:rsidRPr="00D62FCE">
        <w:t>Dodávateľ sa touto Zmluvou zaväzuje dodávať Odberateľovi zemný plyn (ďalej len „plyn“) v dohodnutom množstve, čase a kvalite, zabezpečiť prepravu, distribúciu plynu, štruktúrovanie (uskladnenie) plynu do odberných miest (ďalej ako „OM“) v súlade s článkom III. a článkom IV. tejto Zmluvy.</w:t>
      </w:r>
    </w:p>
    <w:p w:rsidR="00D36E49" w:rsidRDefault="00D62FCE" w:rsidP="00170EB6">
      <w:pPr>
        <w:pStyle w:val="Podkapitoly"/>
        <w:jc w:val="both"/>
      </w:pPr>
      <w:r w:rsidRPr="00D36E49">
        <w:t>Odberateľ sa zaväzuje zemný plyn v mieste plnenia odobrať a zaplatiť Dodávateľovi cenu dohodnutú v článku VI. tejto Zmluvy.</w:t>
      </w:r>
    </w:p>
    <w:p w:rsidR="00D36E49" w:rsidRPr="00D36E49" w:rsidRDefault="00D62FCE" w:rsidP="001E7FC9">
      <w:pPr>
        <w:pStyle w:val="Podkapitoly"/>
        <w:jc w:val="both"/>
      </w:pPr>
      <w:r w:rsidRPr="00D36E49">
        <w:t>Dodávka plynu sa uskutoční podľa podmienok dohodnutých v tejto Zmluve, Všeobecných obchodných podmienok pre dodávku plynu (ďalej ako „VOP“), ktoré tvoria Prílohu č.</w:t>
      </w:r>
      <w:r w:rsidR="001E7FC9">
        <w:t xml:space="preserve"> </w:t>
      </w:r>
      <w:r w:rsidRPr="00D36E49">
        <w:t>1 tejto Zmluvy, v súlade s platnými právnymi predpismi súvisiacimi s energetickou legislatívou v Slovenskej republike, podmienkami uvedenými v zmluve o pripojení k distribučnej sieti, ku ktorej sú pripojené OM, Prevádzkovým poriadkom prevádzkov</w:t>
      </w:r>
      <w:r w:rsidR="001E7FC9">
        <w:t>ateľa distribučnej siete (ďalej</w:t>
      </w:r>
      <w:r w:rsidRPr="00D36E49">
        <w:t xml:space="preserve"> ako „PDS“). V prípade, že je rozpor medzi ustanoveniami tejto Zmluvy a ustanoveniami VOP</w:t>
      </w:r>
      <w:r w:rsidR="00B96530">
        <w:t>,</w:t>
      </w:r>
      <w:r w:rsidRPr="00D36E49">
        <w:t xml:space="preserve"> platia ustanovenia tejto Zmluvy.</w:t>
      </w:r>
    </w:p>
    <w:p w:rsidR="00D36E49" w:rsidRDefault="00D36E49" w:rsidP="00B96530">
      <w:pPr>
        <w:pStyle w:val="lnky"/>
        <w:spacing w:before="240"/>
      </w:pPr>
    </w:p>
    <w:p w:rsidR="00D36E49" w:rsidRPr="00170EB6" w:rsidRDefault="00D62FCE" w:rsidP="00170EB6">
      <w:pPr>
        <w:pStyle w:val="lnky"/>
        <w:numPr>
          <w:ilvl w:val="0"/>
          <w:numId w:val="0"/>
        </w:numPr>
        <w:spacing w:after="240" w:line="240" w:lineRule="auto"/>
        <w:rPr>
          <w:b/>
          <w:sz w:val="22"/>
        </w:rPr>
      </w:pPr>
      <w:r w:rsidRPr="00D36E49">
        <w:rPr>
          <w:b/>
          <w:sz w:val="22"/>
        </w:rPr>
        <w:t>Dodávka zemného plynu – množstvo, kvalita</w:t>
      </w:r>
    </w:p>
    <w:p w:rsidR="00D62FCE" w:rsidRDefault="00D62FCE" w:rsidP="00170EB6">
      <w:pPr>
        <w:pStyle w:val="Podkapitoly"/>
      </w:pPr>
      <w:r w:rsidRPr="00D62FCE">
        <w:t>Dodávka zemného plynu podľa tejto Zmluvy je dohodnutá v nasledovnom rozsahu:</w:t>
      </w: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966"/>
      </w:tblGrid>
      <w:tr w:rsidR="00D36E49" w:rsidRPr="00D36E49" w:rsidTr="008E4BAF">
        <w:trPr>
          <w:trHeight w:val="1255"/>
          <w:jc w:val="center"/>
        </w:trPr>
        <w:tc>
          <w:tcPr>
            <w:tcW w:w="4360" w:type="dxa"/>
            <w:vAlign w:val="center"/>
          </w:tcPr>
          <w:p w:rsidR="008E4BAF" w:rsidRDefault="00D36E49" w:rsidP="008E4BAF">
            <w:pPr>
              <w:spacing w:before="120" w:line="240" w:lineRule="auto"/>
              <w:ind w:left="34" w:hanging="34"/>
              <w:jc w:val="center"/>
              <w:rPr>
                <w:rFonts w:ascii="Arial" w:hAnsi="Arial" w:cs="Arial"/>
                <w:b/>
                <w:sz w:val="20"/>
                <w:szCs w:val="20"/>
              </w:rPr>
            </w:pPr>
            <w:r w:rsidRPr="00D36E49">
              <w:rPr>
                <w:rFonts w:ascii="Arial" w:hAnsi="Arial" w:cs="Arial"/>
                <w:b/>
                <w:sz w:val="20"/>
                <w:szCs w:val="20"/>
              </w:rPr>
              <w:t>Identifikačné číslo odberného</w:t>
            </w:r>
          </w:p>
          <w:p w:rsidR="00D36E49" w:rsidRPr="00D36E49" w:rsidRDefault="00D36E49" w:rsidP="008E4BAF">
            <w:pPr>
              <w:spacing w:before="120" w:line="240" w:lineRule="auto"/>
              <w:ind w:left="34" w:hanging="34"/>
              <w:jc w:val="center"/>
              <w:rPr>
                <w:rFonts w:ascii="Arial" w:hAnsi="Arial" w:cs="Arial"/>
                <w:b/>
                <w:sz w:val="20"/>
                <w:szCs w:val="20"/>
              </w:rPr>
            </w:pPr>
            <w:r w:rsidRPr="00D36E49">
              <w:rPr>
                <w:rFonts w:ascii="Arial" w:hAnsi="Arial" w:cs="Arial"/>
                <w:b/>
                <w:sz w:val="20"/>
                <w:szCs w:val="20"/>
              </w:rPr>
              <w:t>miesta „POD“</w:t>
            </w:r>
          </w:p>
          <w:p w:rsidR="00D36E49" w:rsidRPr="00D36E49" w:rsidRDefault="006B6003" w:rsidP="008E4BAF">
            <w:pPr>
              <w:spacing w:before="120" w:line="240" w:lineRule="auto"/>
              <w:ind w:left="709" w:hanging="709"/>
              <w:jc w:val="center"/>
              <w:rPr>
                <w:rFonts w:ascii="Arial" w:hAnsi="Arial" w:cs="Arial"/>
                <w:b/>
                <w:sz w:val="20"/>
                <w:szCs w:val="20"/>
              </w:rPr>
            </w:pPr>
            <w:r w:rsidRPr="006B6003">
              <w:rPr>
                <w:rFonts w:ascii="Arial" w:hAnsi="Arial" w:cs="Arial"/>
                <w:b/>
                <w:sz w:val="20"/>
                <w:szCs w:val="20"/>
                <w:lang w:eastAsia="cs-CZ"/>
              </w:rPr>
              <w:t>SKSPPDIS000130022887</w:t>
            </w:r>
          </w:p>
        </w:tc>
        <w:tc>
          <w:tcPr>
            <w:tcW w:w="2966" w:type="dxa"/>
          </w:tcPr>
          <w:p w:rsidR="00D36E49" w:rsidRPr="00D36E49" w:rsidRDefault="00D36E49" w:rsidP="008E4BAF">
            <w:pPr>
              <w:spacing w:before="120" w:line="240" w:lineRule="auto"/>
              <w:ind w:left="709" w:hanging="709"/>
              <w:jc w:val="center"/>
              <w:rPr>
                <w:rFonts w:ascii="Arial" w:hAnsi="Arial" w:cs="Arial"/>
                <w:b/>
                <w:sz w:val="20"/>
                <w:szCs w:val="20"/>
              </w:rPr>
            </w:pPr>
          </w:p>
          <w:p w:rsidR="00D36E49" w:rsidRPr="00D36E49" w:rsidRDefault="00D36E49" w:rsidP="008E4BAF">
            <w:pPr>
              <w:spacing w:before="120" w:line="240" w:lineRule="auto"/>
              <w:ind w:left="709" w:hanging="709"/>
              <w:jc w:val="center"/>
              <w:rPr>
                <w:rFonts w:ascii="Arial" w:hAnsi="Arial" w:cs="Arial"/>
                <w:b/>
                <w:sz w:val="20"/>
                <w:szCs w:val="20"/>
                <w:highlight w:val="yellow"/>
                <w:vertAlign w:val="superscript"/>
              </w:rPr>
            </w:pPr>
            <w:r w:rsidRPr="00D36E49">
              <w:rPr>
                <w:rFonts w:ascii="Arial" w:hAnsi="Arial" w:cs="Arial"/>
                <w:b/>
                <w:sz w:val="20"/>
                <w:szCs w:val="20"/>
              </w:rPr>
              <w:t>Množstvo</w:t>
            </w:r>
          </w:p>
        </w:tc>
      </w:tr>
      <w:tr w:rsidR="00D36E49" w:rsidRPr="00D36E49" w:rsidTr="008E4BAF">
        <w:trPr>
          <w:trHeight w:val="352"/>
          <w:jc w:val="center"/>
        </w:trPr>
        <w:tc>
          <w:tcPr>
            <w:tcW w:w="4360" w:type="dxa"/>
          </w:tcPr>
          <w:p w:rsidR="00D36E49" w:rsidRPr="00D36E49" w:rsidRDefault="00D36E49" w:rsidP="008E4BAF">
            <w:pPr>
              <w:spacing w:before="120" w:line="240" w:lineRule="auto"/>
              <w:ind w:left="709" w:hanging="709"/>
              <w:jc w:val="center"/>
              <w:rPr>
                <w:rFonts w:ascii="Arial" w:hAnsi="Arial" w:cs="Arial"/>
                <w:sz w:val="20"/>
                <w:szCs w:val="20"/>
              </w:rPr>
            </w:pPr>
            <w:r w:rsidRPr="00D36E49">
              <w:rPr>
                <w:rFonts w:ascii="Arial" w:hAnsi="Arial" w:cs="Arial"/>
                <w:sz w:val="20"/>
                <w:szCs w:val="20"/>
              </w:rPr>
              <w:t>ACQ</w:t>
            </w:r>
          </w:p>
        </w:tc>
        <w:tc>
          <w:tcPr>
            <w:tcW w:w="2966" w:type="dxa"/>
            <w:vAlign w:val="center"/>
          </w:tcPr>
          <w:p w:rsidR="00D36E49" w:rsidRPr="00D36E49" w:rsidRDefault="006B6003" w:rsidP="008E4BAF">
            <w:pPr>
              <w:spacing w:before="120" w:line="240" w:lineRule="auto"/>
              <w:ind w:left="709" w:hanging="709"/>
              <w:jc w:val="center"/>
              <w:rPr>
                <w:rFonts w:ascii="Arial" w:hAnsi="Arial" w:cs="Arial"/>
                <w:sz w:val="20"/>
                <w:szCs w:val="20"/>
                <w:highlight w:val="yellow"/>
              </w:rPr>
            </w:pPr>
            <w:r w:rsidRPr="006B6003">
              <w:rPr>
                <w:rFonts w:ascii="Arial" w:hAnsi="Arial" w:cs="Arial"/>
                <w:sz w:val="20"/>
                <w:szCs w:val="20"/>
              </w:rPr>
              <w:t xml:space="preserve">1250 </w:t>
            </w:r>
            <w:r w:rsidR="00D36E49" w:rsidRPr="00D36E49">
              <w:rPr>
                <w:rFonts w:ascii="Arial" w:hAnsi="Arial" w:cs="Arial"/>
                <w:sz w:val="20"/>
                <w:szCs w:val="20"/>
              </w:rPr>
              <w:t>MWh</w:t>
            </w:r>
          </w:p>
        </w:tc>
      </w:tr>
      <w:tr w:rsidR="00D36E49" w:rsidRPr="00D36E49" w:rsidTr="008E4BAF">
        <w:trPr>
          <w:trHeight w:val="562"/>
          <w:jc w:val="center"/>
        </w:trPr>
        <w:tc>
          <w:tcPr>
            <w:tcW w:w="4360" w:type="dxa"/>
          </w:tcPr>
          <w:p w:rsidR="00D36E49" w:rsidRPr="00D36E49" w:rsidRDefault="00D36E49" w:rsidP="008E4BAF">
            <w:pPr>
              <w:spacing w:before="120" w:line="240" w:lineRule="auto"/>
              <w:ind w:left="709" w:hanging="709"/>
              <w:jc w:val="center"/>
              <w:rPr>
                <w:rFonts w:ascii="Arial" w:hAnsi="Arial" w:cs="Arial"/>
                <w:sz w:val="20"/>
                <w:szCs w:val="20"/>
              </w:rPr>
            </w:pPr>
            <w:r w:rsidRPr="00D36E49">
              <w:rPr>
                <w:rFonts w:ascii="Arial" w:hAnsi="Arial" w:cs="Arial"/>
                <w:sz w:val="20"/>
                <w:szCs w:val="20"/>
              </w:rPr>
              <w:t>DCQ</w:t>
            </w:r>
          </w:p>
        </w:tc>
        <w:tc>
          <w:tcPr>
            <w:tcW w:w="2966" w:type="dxa"/>
            <w:vAlign w:val="center"/>
          </w:tcPr>
          <w:p w:rsidR="00D36E49" w:rsidRPr="00D36E49" w:rsidRDefault="006B6003" w:rsidP="006B6003">
            <w:pPr>
              <w:spacing w:before="120" w:line="240" w:lineRule="auto"/>
              <w:ind w:left="709" w:hanging="709"/>
              <w:jc w:val="center"/>
              <w:rPr>
                <w:rFonts w:ascii="Arial" w:hAnsi="Arial" w:cs="Arial"/>
                <w:sz w:val="20"/>
                <w:szCs w:val="20"/>
                <w:highlight w:val="yellow"/>
              </w:rPr>
            </w:pPr>
            <w:r w:rsidRPr="006B6003">
              <w:rPr>
                <w:rFonts w:ascii="Arial" w:hAnsi="Arial" w:cs="Arial"/>
                <w:sz w:val="20"/>
                <w:szCs w:val="20"/>
              </w:rPr>
              <w:t>1700</w:t>
            </w:r>
            <w:r w:rsidRPr="00D36E49">
              <w:rPr>
                <w:rFonts w:ascii="Arial" w:hAnsi="Arial" w:cs="Arial"/>
                <w:sz w:val="20"/>
                <w:szCs w:val="20"/>
              </w:rPr>
              <w:t xml:space="preserve"> </w:t>
            </w:r>
            <w:r w:rsidR="00D36E49" w:rsidRPr="00D36E49">
              <w:rPr>
                <w:rFonts w:ascii="Arial" w:hAnsi="Arial" w:cs="Arial"/>
                <w:sz w:val="20"/>
                <w:szCs w:val="20"/>
              </w:rPr>
              <w:t>m</w:t>
            </w:r>
            <w:r w:rsidR="00D36E49" w:rsidRPr="00D36E49">
              <w:rPr>
                <w:rFonts w:ascii="Arial" w:hAnsi="Arial" w:cs="Arial"/>
                <w:sz w:val="20"/>
                <w:szCs w:val="20"/>
                <w:vertAlign w:val="superscript"/>
              </w:rPr>
              <w:t>3</w:t>
            </w:r>
            <w:r w:rsidR="00D36E49" w:rsidRPr="00D36E49">
              <w:rPr>
                <w:rFonts w:ascii="Arial" w:hAnsi="Arial" w:cs="Arial"/>
                <w:sz w:val="20"/>
                <w:szCs w:val="20"/>
              </w:rPr>
              <w:t xml:space="preserve"> (MWh*)</w:t>
            </w:r>
          </w:p>
        </w:tc>
      </w:tr>
    </w:tbl>
    <w:p w:rsidR="00B23688" w:rsidRDefault="00D62FCE" w:rsidP="00B23688">
      <w:pPr>
        <w:pStyle w:val="Podkapitoly"/>
        <w:numPr>
          <w:ilvl w:val="0"/>
          <w:numId w:val="0"/>
        </w:numPr>
        <w:ind w:left="851"/>
        <w:jc w:val="both"/>
        <w:rPr>
          <w:sz w:val="16"/>
        </w:rPr>
      </w:pPr>
      <w:r w:rsidRPr="00B23688">
        <w:rPr>
          <w:sz w:val="16"/>
        </w:rPr>
        <w:t>*prepočet na energetické jednotky sa vykoná v zmysle podmienok stanovených v platnom cenovom rozhodnutí ÚRSO pre SPP - distribúcia, a.s., Mlynské nivy 44/b, 825 11 Bratislava, IČO 35 910</w:t>
      </w:r>
      <w:r w:rsidR="00B23688">
        <w:rPr>
          <w:sz w:val="16"/>
        </w:rPr>
        <w:t> </w:t>
      </w:r>
      <w:r w:rsidRPr="00B23688">
        <w:rPr>
          <w:sz w:val="16"/>
        </w:rPr>
        <w:t>739</w:t>
      </w:r>
    </w:p>
    <w:p w:rsidR="00B23688" w:rsidRDefault="00B23688" w:rsidP="00B23688">
      <w:pPr>
        <w:pStyle w:val="Podkapitoly"/>
        <w:numPr>
          <w:ilvl w:val="0"/>
          <w:numId w:val="0"/>
        </w:numPr>
        <w:ind w:left="851"/>
        <w:jc w:val="both"/>
        <w:rPr>
          <w:b/>
        </w:rPr>
      </w:pPr>
    </w:p>
    <w:p w:rsidR="00B23688" w:rsidRDefault="00D62FCE" w:rsidP="00B23688">
      <w:pPr>
        <w:pStyle w:val="Podkapitoly"/>
        <w:numPr>
          <w:ilvl w:val="0"/>
          <w:numId w:val="0"/>
        </w:numPr>
        <w:ind w:left="851"/>
        <w:jc w:val="both"/>
        <w:rPr>
          <w:sz w:val="16"/>
        </w:rPr>
      </w:pPr>
      <w:r w:rsidRPr="00D36E49">
        <w:rPr>
          <w:b/>
        </w:rPr>
        <w:t>ACQ</w:t>
      </w:r>
      <w:r w:rsidR="00B23688">
        <w:t xml:space="preserve"> =</w:t>
      </w:r>
      <w:r w:rsidR="0049250E">
        <w:t xml:space="preserve"> </w:t>
      </w:r>
      <w:r w:rsidRPr="00D62FCE">
        <w:t>Zmluvné množstvo zemného plynu v MWh/rok.</w:t>
      </w:r>
    </w:p>
    <w:p w:rsidR="00B23688" w:rsidRDefault="00D36E49" w:rsidP="00B23688">
      <w:pPr>
        <w:pStyle w:val="Podkapitoly"/>
        <w:numPr>
          <w:ilvl w:val="0"/>
          <w:numId w:val="0"/>
        </w:numPr>
        <w:ind w:left="851"/>
        <w:jc w:val="both"/>
        <w:rPr>
          <w:sz w:val="16"/>
        </w:rPr>
      </w:pPr>
      <w:r w:rsidRPr="00D36E49">
        <w:rPr>
          <w:b/>
        </w:rPr>
        <w:t>DC</w:t>
      </w:r>
      <w:r w:rsidR="0049250E">
        <w:rPr>
          <w:b/>
        </w:rPr>
        <w:t>Q</w:t>
      </w:r>
      <w:r>
        <w:t xml:space="preserve"> =</w:t>
      </w:r>
      <w:r w:rsidR="0049250E">
        <w:t xml:space="preserve"> </w:t>
      </w:r>
      <w:r w:rsidR="00D62FCE" w:rsidRPr="00D62FCE">
        <w:t>Denné maximálne zmluvné množstvo zemného plynu v m3/deň, (MWh*)</w:t>
      </w:r>
    </w:p>
    <w:p w:rsidR="00D36E49" w:rsidRPr="00B23688" w:rsidRDefault="00D62FCE" w:rsidP="00B23688">
      <w:pPr>
        <w:pStyle w:val="Podkapitoly"/>
        <w:numPr>
          <w:ilvl w:val="0"/>
          <w:numId w:val="0"/>
        </w:numPr>
        <w:ind w:left="851"/>
        <w:jc w:val="both"/>
        <w:rPr>
          <w:sz w:val="16"/>
        </w:rPr>
      </w:pPr>
      <w:r w:rsidRPr="00D62FCE">
        <w:t>Minimálne ročné množstvo:</w:t>
      </w:r>
    </w:p>
    <w:p w:rsidR="00B23688" w:rsidRDefault="00D62FCE" w:rsidP="00B23688">
      <w:pPr>
        <w:pStyle w:val="Podkapitoly"/>
        <w:numPr>
          <w:ilvl w:val="0"/>
          <w:numId w:val="0"/>
        </w:numPr>
        <w:ind w:left="576"/>
        <w:jc w:val="center"/>
        <w:rPr>
          <w:b/>
        </w:rPr>
      </w:pPr>
      <w:r w:rsidRPr="0049250E">
        <w:rPr>
          <w:b/>
        </w:rPr>
        <w:t>AMQ</w:t>
      </w:r>
      <w:r w:rsidR="00D36E49" w:rsidRPr="0049250E">
        <w:rPr>
          <w:b/>
        </w:rPr>
        <w:t xml:space="preserve"> =</w:t>
      </w:r>
      <w:r w:rsidR="00D36E49" w:rsidRPr="0049250E">
        <w:rPr>
          <w:b/>
        </w:rPr>
        <w:tab/>
      </w:r>
      <w:r w:rsidRPr="0049250E">
        <w:rPr>
          <w:b/>
        </w:rPr>
        <w:t>0,</w:t>
      </w:r>
      <w:r w:rsidR="00DF2E81">
        <w:rPr>
          <w:b/>
        </w:rPr>
        <w:t>75</w:t>
      </w:r>
      <w:r w:rsidRPr="00B96530">
        <w:rPr>
          <w:b/>
        </w:rPr>
        <w:t xml:space="preserve"> * ACQ </w:t>
      </w:r>
      <w:r w:rsidR="00D36E49" w:rsidRPr="00B96530">
        <w:rPr>
          <w:b/>
        </w:rPr>
        <w:t>–</w:t>
      </w:r>
      <w:r w:rsidRPr="00B96530">
        <w:rPr>
          <w:b/>
        </w:rPr>
        <w:t xml:space="preserve"> D</w:t>
      </w:r>
    </w:p>
    <w:p w:rsidR="00B23688" w:rsidRDefault="00D62FCE" w:rsidP="00B23688">
      <w:pPr>
        <w:pStyle w:val="Podkapitoly"/>
        <w:numPr>
          <w:ilvl w:val="0"/>
          <w:numId w:val="0"/>
        </w:numPr>
        <w:ind w:left="851"/>
        <w:jc w:val="both"/>
        <w:rPr>
          <w:b/>
        </w:rPr>
      </w:pPr>
      <w:r w:rsidRPr="00D62FCE">
        <w:t>Kde:</w:t>
      </w:r>
    </w:p>
    <w:p w:rsidR="00170EB6" w:rsidRPr="00B23688" w:rsidRDefault="00D62FCE" w:rsidP="00B23688">
      <w:pPr>
        <w:pStyle w:val="Podkapitoly"/>
        <w:numPr>
          <w:ilvl w:val="0"/>
          <w:numId w:val="0"/>
        </w:numPr>
        <w:ind w:left="851"/>
        <w:jc w:val="both"/>
        <w:rPr>
          <w:b/>
        </w:rPr>
      </w:pPr>
      <w:r w:rsidRPr="00D36E49">
        <w:rPr>
          <w:b/>
        </w:rPr>
        <w:t>D</w:t>
      </w:r>
      <w:r w:rsidR="00B23688">
        <w:t xml:space="preserve"> = </w:t>
      </w:r>
      <w:r w:rsidRPr="00D62FCE">
        <w:t>celkové množstvo plynu, ktoré Dodávat</w:t>
      </w:r>
      <w:r w:rsidR="0045026E">
        <w:t>eľ z akéhokoľvek dôvodu nedodal</w:t>
      </w:r>
      <w:r w:rsidR="001E7FC9">
        <w:t xml:space="preserve"> alebo Odberateľ</w:t>
      </w:r>
      <w:r w:rsidRPr="00D62FCE">
        <w:t xml:space="preserve"> neodobral z dôvodov uvedených v tejto Zmluve v MWh.</w:t>
      </w:r>
    </w:p>
    <w:p w:rsidR="00D36E49" w:rsidRDefault="0045026E" w:rsidP="00170EB6">
      <w:pPr>
        <w:pStyle w:val="Podkapitoly"/>
        <w:jc w:val="both"/>
      </w:pPr>
      <w:r>
        <w:t xml:space="preserve">Odberateľ môže ročné zmluvné </w:t>
      </w:r>
      <w:r w:rsidR="00D62FCE" w:rsidRPr="00D62FCE">
        <w:t>množstvo ACQ uvedené v odseku 3.1 tohto článku Z</w:t>
      </w:r>
      <w:r>
        <w:t xml:space="preserve">mluvy prekročiť bez obmedzenia. </w:t>
      </w:r>
      <w:r w:rsidR="00D62FCE" w:rsidRPr="00D62FCE">
        <w:t xml:space="preserve">V prípade, ak Odberateľ prekročí ACQ o menej </w:t>
      </w:r>
      <w:r w:rsidR="00D62FCE" w:rsidRPr="0049250E">
        <w:t>ako 2</w:t>
      </w:r>
      <w:r w:rsidR="00DF2E81">
        <w:t>5</w:t>
      </w:r>
      <w:r w:rsidR="00D62FCE" w:rsidRPr="0049250E">
        <w:t>%,</w:t>
      </w:r>
      <w:r w:rsidR="00D62FCE" w:rsidRPr="00D62FCE">
        <w:t xml:space="preserve"> prekročenie ACQ nemá vplyv na dohodnutú jednotkovú cenu uvedenú v Prílohe č. 2 odsek 2, bod 2.1. tejto Zmluvy.</w:t>
      </w:r>
    </w:p>
    <w:p w:rsidR="00D36E49" w:rsidRDefault="0045026E" w:rsidP="00170EB6">
      <w:pPr>
        <w:pStyle w:val="Podkapitoly"/>
        <w:jc w:val="both"/>
      </w:pPr>
      <w:r>
        <w:t>V prípade, že Odberateľ</w:t>
      </w:r>
      <w:r w:rsidR="001E7FC9">
        <w:t xml:space="preserve"> prekročí ročné zmluvné </w:t>
      </w:r>
      <w:r w:rsidR="00D62FCE" w:rsidRPr="00D36E49">
        <w:t xml:space="preserve">množstvo ACQ uvedené v </w:t>
      </w:r>
      <w:r w:rsidR="001E7FC9">
        <w:t xml:space="preserve">odseku 3.1 tohto článku Zmluvy </w:t>
      </w:r>
      <w:r w:rsidR="00D62FCE" w:rsidRPr="00D36E49">
        <w:t xml:space="preserve">o </w:t>
      </w:r>
      <w:r w:rsidR="00D62FCE" w:rsidRPr="0049250E">
        <w:t>viac ako 2</w:t>
      </w:r>
      <w:r w:rsidR="00DF2E81">
        <w:t>5</w:t>
      </w:r>
      <w:r w:rsidR="00D62FCE" w:rsidRPr="0049250E">
        <w:t>%, toto množstvo nad 2</w:t>
      </w:r>
      <w:r w:rsidR="00DF2E81">
        <w:t>5</w:t>
      </w:r>
      <w:r w:rsidR="00D62FCE" w:rsidRPr="0049250E">
        <w:t>% ACQ bude ocenené cenou uvedenou v Prílohe č. 2, odsek 2., bod 2.1. tejto Zmluvy zvýšenou</w:t>
      </w:r>
      <w:r w:rsidR="00D62FCE" w:rsidRPr="00D36E49">
        <w:t xml:space="preserve"> o 5%.</w:t>
      </w:r>
    </w:p>
    <w:p w:rsidR="00D36E49" w:rsidRDefault="0045026E" w:rsidP="00170EB6">
      <w:pPr>
        <w:pStyle w:val="Podkapitoly"/>
        <w:jc w:val="both"/>
      </w:pPr>
      <w:r>
        <w:t>Vlastnícke právo k</w:t>
      </w:r>
      <w:r w:rsidR="00D62FCE" w:rsidRPr="00D36E49">
        <w:t xml:space="preserve"> plynu prechádza z Dodávateľa na Odberateľa v mieste plnenia, a to prechodom plynu cez hlavný uzáver plynu oddeľujúci distribučnú sieť od odberného plynového zariadenia. Prechodom vlastníckeho práva plynu prechádza na Odberateľa aj nebezpečenstvo škody.</w:t>
      </w:r>
    </w:p>
    <w:p w:rsidR="00D62FCE" w:rsidRDefault="00D62FCE" w:rsidP="00170EB6">
      <w:pPr>
        <w:pStyle w:val="Podkapitoly"/>
        <w:jc w:val="both"/>
      </w:pPr>
      <w:r w:rsidRPr="00D36E49">
        <w:t>Plyn v mieste odovzdania/prevzatia plynu musí zodpovedať kvalitatívnej špecifikácii uvedenej v platných Technických podmienkach prevádzkovateľa distribučnej siete.</w:t>
      </w:r>
    </w:p>
    <w:p w:rsidR="005C72DD" w:rsidRPr="001E7FC9" w:rsidRDefault="005C72DD" w:rsidP="005C72DD">
      <w:pPr>
        <w:pStyle w:val="Podkapitoly"/>
        <w:numPr>
          <w:ilvl w:val="0"/>
          <w:numId w:val="0"/>
        </w:numPr>
        <w:ind w:left="851"/>
        <w:jc w:val="both"/>
      </w:pPr>
    </w:p>
    <w:p w:rsidR="00D36E49" w:rsidRDefault="00D36E49" w:rsidP="00B96530">
      <w:pPr>
        <w:pStyle w:val="lnky"/>
        <w:spacing w:before="240"/>
      </w:pPr>
    </w:p>
    <w:p w:rsidR="00D01CDA" w:rsidRPr="00B23688" w:rsidRDefault="00D62FCE" w:rsidP="00B23688">
      <w:pPr>
        <w:pStyle w:val="lnky"/>
        <w:numPr>
          <w:ilvl w:val="0"/>
          <w:numId w:val="0"/>
        </w:numPr>
        <w:spacing w:after="240" w:line="240" w:lineRule="auto"/>
        <w:rPr>
          <w:b/>
          <w:sz w:val="22"/>
        </w:rPr>
      </w:pPr>
      <w:r w:rsidRPr="00D36E49">
        <w:rPr>
          <w:b/>
          <w:sz w:val="22"/>
        </w:rPr>
        <w:t>Čas, miesto plnenia a meranie</w:t>
      </w:r>
    </w:p>
    <w:p w:rsidR="00D36E49" w:rsidRDefault="001E7FC9" w:rsidP="00D01CDA">
      <w:pPr>
        <w:pStyle w:val="Podkapitoly"/>
        <w:jc w:val="both"/>
      </w:pPr>
      <w:r>
        <w:t xml:space="preserve">Dodávateľ </w:t>
      </w:r>
      <w:r w:rsidR="00D62FCE" w:rsidRPr="00D62FCE">
        <w:t>sa zav</w:t>
      </w:r>
      <w:r>
        <w:t xml:space="preserve">äzuje dodávať </w:t>
      </w:r>
      <w:r w:rsidR="00D62FCE" w:rsidRPr="00D62FCE">
        <w:t xml:space="preserve">plyn podľa článku II. tejto Zmluvy v období od </w:t>
      </w:r>
      <w:r w:rsidR="00D62FCE" w:rsidRPr="0049250E">
        <w:t>01.01.2015 do 31.12.2015</w:t>
      </w:r>
      <w:r w:rsidR="00D62FCE" w:rsidRPr="00D62FCE">
        <w:t xml:space="preserve"> v rozpätí plynárenského dňa (ďalej ako „zmluvné obdobie“), nie však skôr ako PDS pridelí Dodávateľovi distribučnú kapacitu pre príslušné odberné miesta podľa tejto Zmluvy.</w:t>
      </w:r>
    </w:p>
    <w:p w:rsidR="00D36E49" w:rsidRDefault="00D62FCE" w:rsidP="00170EB6">
      <w:pPr>
        <w:pStyle w:val="Podkapitoly"/>
        <w:jc w:val="both"/>
      </w:pPr>
      <w:r w:rsidRPr="00D36E49">
        <w:t xml:space="preserve">Dodávka plynu sa uskutoční do OM Odberateľa, špecifikovaných v Prílohe č. 2 tejto Zmluvy. </w:t>
      </w:r>
    </w:p>
    <w:p w:rsidR="00D36E49" w:rsidRDefault="00D62FCE" w:rsidP="00170EB6">
      <w:pPr>
        <w:pStyle w:val="Podkapitoly"/>
        <w:jc w:val="both"/>
      </w:pPr>
      <w:r w:rsidRPr="00D36E49">
        <w:t>Na OM je umiestnené meracie zariadenie prevádzkovateľa distribučnej siete, ktorý zodpovedá za jeho prevádzku a metrologické zabezpečenie.</w:t>
      </w:r>
    </w:p>
    <w:p w:rsidR="00D36E49" w:rsidRDefault="00D62FCE" w:rsidP="00170EB6">
      <w:pPr>
        <w:pStyle w:val="Podkapitoly"/>
        <w:jc w:val="both"/>
      </w:pPr>
      <w:r w:rsidRPr="00D36E49">
        <w:t xml:space="preserve">Na OM Odberateľa je inštalovaný diaľkový prenos, ktorý umožňuje transfer nameraných údajov prepočítanej spotreby na server prevádzkovateľa distribučnej siete, spoločnosti SPP – distribúcia, a.s., ktorá prevádzkuje globálny aplikačný server GMS (ďalej „GMS“). V tejto aplikácií si </w:t>
      </w:r>
      <w:r w:rsidR="00B96530">
        <w:t>môže Odberateľ na dennej báze</w:t>
      </w:r>
      <w:r w:rsidRPr="00D36E49">
        <w:t xml:space="preserve"> alebo týždenne kontrolovať spotrebu plynu vždy po skončení plynárenského dňa. Prevádzkovateľ GMS zodpovedá </w:t>
      </w:r>
      <w:r w:rsidR="001E7FC9">
        <w:t xml:space="preserve">za údaje o spotrebe (odobratom </w:t>
      </w:r>
      <w:r w:rsidRPr="00D36E49">
        <w:t xml:space="preserve">množstve) plynu na OM a poskytuje podklady </w:t>
      </w:r>
      <w:r w:rsidR="001E7FC9">
        <w:t>pre účely fakturácie v súlade s</w:t>
      </w:r>
      <w:r w:rsidRPr="00D36E49">
        <w:t xml:space="preserve"> Prevádzkovým poriadkom prevádzkovateľa distribučnej siete. </w:t>
      </w:r>
    </w:p>
    <w:p w:rsidR="00D36E49" w:rsidRDefault="00D62FCE" w:rsidP="00170EB6">
      <w:pPr>
        <w:pStyle w:val="Podkapitoly"/>
        <w:jc w:val="both"/>
      </w:pPr>
      <w:r w:rsidRPr="00D36E49">
        <w:t>Zmluva o pripojení OM je uzatvorená medzi Odberateľom a prevádzkovateľom distribučnej siete. Údaje a podmienky z uvedenej zmluvy o pripojení sú pre Odberateľa záväzné. Kópiu tejto zmluvy odovzdá Odberateľ Dodávateľovi pri podpise tejto Zmluvy.</w:t>
      </w:r>
    </w:p>
    <w:p w:rsidR="00D36E49" w:rsidRDefault="00D62FCE" w:rsidP="00170EB6">
      <w:pPr>
        <w:pStyle w:val="Podkapitoly"/>
        <w:jc w:val="both"/>
      </w:pPr>
      <w:r w:rsidRPr="00D36E49">
        <w:t xml:space="preserve">Plyn dodávaný podľa tejto Zmluvy je určený na spotrebu na území Slovenskej republiky. </w:t>
      </w:r>
    </w:p>
    <w:p w:rsidR="00D36E49" w:rsidRDefault="00D62FCE" w:rsidP="00170EB6">
      <w:pPr>
        <w:pStyle w:val="Podkapitoly"/>
        <w:jc w:val="both"/>
      </w:pPr>
      <w:r w:rsidRPr="00D36E49">
        <w:t>Spôsob a rozsah zisťovania špecifikácie a množstva dodaného plynu bude prebiehať ur</w:t>
      </w:r>
      <w:r w:rsidR="001E7FC9">
        <w:t xml:space="preserve">čeným meradlom v OM v súlade s </w:t>
      </w:r>
      <w:r w:rsidRPr="00D36E49">
        <w:t xml:space="preserve">Prevádzkovým poriadkom prevádzkovateľa distribučnej siete. </w:t>
      </w:r>
    </w:p>
    <w:p w:rsidR="00D36E49" w:rsidRDefault="00D62FCE" w:rsidP="00170EB6">
      <w:pPr>
        <w:pStyle w:val="Podkapitoly"/>
        <w:jc w:val="both"/>
      </w:pPr>
      <w:r w:rsidRPr="00D36E49">
        <w:t>Dodané a odobraté množstvo plynu sa vyhodnocuje ako množstvo energie vyjadrené v energetických jednotkách v zmysle platných právnych predpisov Slovenskej republiky.</w:t>
      </w:r>
    </w:p>
    <w:p w:rsidR="00D36E49" w:rsidRDefault="00D62FCE" w:rsidP="00170EB6">
      <w:pPr>
        <w:pStyle w:val="Podkapitoly"/>
        <w:jc w:val="both"/>
      </w:pPr>
      <w:r w:rsidRPr="00D36E49">
        <w:t>Pre určenie výšky množstva ročného, mesačného a denného odberu plynu sa pre účely tejto Zmluvy použijú údaje poskytnuté prevádzkovateľom distribučnej siete v rámci procesu merania a spracovania nameraných hodnôt.</w:t>
      </w:r>
    </w:p>
    <w:p w:rsidR="00D36E49" w:rsidRDefault="00D62FCE" w:rsidP="00170EB6">
      <w:pPr>
        <w:pStyle w:val="Podkapitoly"/>
        <w:jc w:val="both"/>
      </w:pPr>
      <w:r w:rsidRPr="00D36E49">
        <w:t>Nedodané množstvá plynu alebo nedodržanie minimálneho odovzdávacieho tlaku, vyplývajúceho zo stavu núdze (krízová situácia v plynáre</w:t>
      </w:r>
      <w:r w:rsidR="001E7FC9">
        <w:t>nstve), vyhláseného v súlade so</w:t>
      </w:r>
      <w:r w:rsidRPr="00D36E49">
        <w:t xml:space="preserve"> všeobecne platnými záväznými právnymi predpismi, sa nepovažujú za nedodávku či nesplnenie povinností zo strany Dodávateľa.</w:t>
      </w:r>
    </w:p>
    <w:p w:rsidR="00D20DEF" w:rsidRDefault="001E7FC9" w:rsidP="00D20DEF">
      <w:pPr>
        <w:pStyle w:val="Podkapitoly"/>
        <w:jc w:val="both"/>
      </w:pPr>
      <w:r>
        <w:t xml:space="preserve">Ak Dodávateľ </w:t>
      </w:r>
      <w:r w:rsidR="00D62FCE" w:rsidRPr="00D36E49">
        <w:t>nedodá dohodnuté množstvo plynu, okrem prípadov vyhlásenia stavu núdze (krízová situácia v plynárenstve) a prípadov vzniku vyššej moci, je povinný uhradiť Odberateľovi preukázanú náhradu vzniknutej škody, spôsobenej nedodaním požadovaného množstva plynu vrátane s tým spojeného ušlého zisku a súčasne je takáto nedodávka považovaná za podstatné porušenie Zmluvy zo strany Dodávateľa.</w:t>
      </w:r>
    </w:p>
    <w:p w:rsidR="00D01CDA" w:rsidRDefault="00D62FCE" w:rsidP="00D20DEF">
      <w:pPr>
        <w:pStyle w:val="Podkapitoly"/>
        <w:jc w:val="both"/>
      </w:pPr>
      <w:r w:rsidRPr="00D36E49">
        <w:t>Za neodber (nesplnenie povinnosti zo strany Odberateľa) sa nepovažuje neodobranie zazmluvneného množstva plynu z dôvodu:</w:t>
      </w:r>
    </w:p>
    <w:p w:rsidR="0045026E" w:rsidRDefault="00D62FCE" w:rsidP="00D20DEF">
      <w:pPr>
        <w:pStyle w:val="odrka"/>
      </w:pPr>
      <w:r w:rsidRPr="00D36E49">
        <w:t>vyhlásenia stavu núdze (krízová situácia v plynárenstve),</w:t>
      </w:r>
    </w:p>
    <w:p w:rsidR="0045026E" w:rsidRDefault="00D62FCE" w:rsidP="0024796F">
      <w:pPr>
        <w:pStyle w:val="odrka"/>
      </w:pPr>
      <w:r w:rsidRPr="00D36E49">
        <w:t>na strane Dodávateľa,</w:t>
      </w:r>
    </w:p>
    <w:p w:rsidR="0045026E" w:rsidRDefault="00D62FCE" w:rsidP="0024796F">
      <w:pPr>
        <w:pStyle w:val="odrka"/>
      </w:pPr>
      <w:r w:rsidRPr="00D36E49">
        <w:t>vyššej moci,</w:t>
      </w:r>
    </w:p>
    <w:p w:rsidR="0045026E" w:rsidRDefault="00D62FCE" w:rsidP="0024796F">
      <w:pPr>
        <w:pStyle w:val="odrka"/>
      </w:pPr>
      <w:r w:rsidRPr="00D36E49">
        <w:t>ak PDS obmedzí alebo preruší distribúciu v zmysle z.</w:t>
      </w:r>
      <w:r w:rsidR="008E4BAF">
        <w:t xml:space="preserve"> </w:t>
      </w:r>
      <w:r w:rsidRPr="00D36E49">
        <w:t>č. 251/2012 o energetike a o zmene a doplnení niektorých zákonov v znení neskorších predpisov, s výnimkou ak toto obmedzenie a prerušenie bolo spôsobené zo strany Odberateľa,</w:t>
      </w:r>
    </w:p>
    <w:p w:rsidR="00D36E49" w:rsidRDefault="00D62FCE" w:rsidP="0024796F">
      <w:pPr>
        <w:pStyle w:val="odrka"/>
      </w:pPr>
      <w:r w:rsidRPr="00D36E49">
        <w:t>neoprávneného prerušenia distribúcie zo strany PDS.</w:t>
      </w:r>
    </w:p>
    <w:p w:rsidR="00D36E49" w:rsidRDefault="00D62FCE" w:rsidP="00170EB6">
      <w:pPr>
        <w:pStyle w:val="Podkapitoly"/>
        <w:jc w:val="both"/>
      </w:pPr>
      <w:r w:rsidRPr="00D36E49">
        <w:t>Odberateľ svoju povinnosť odobrať plyn splnil, ak na OM prevzal minimálne dohodnuté ročné množstvo v súlade s jeho dohodnutými hodnotami v zmysle tejto Zmluvy.</w:t>
      </w:r>
    </w:p>
    <w:p w:rsidR="00B23688" w:rsidRDefault="001E7FC9" w:rsidP="00B23688">
      <w:pPr>
        <w:pStyle w:val="Podkapitoly"/>
        <w:jc w:val="both"/>
      </w:pPr>
      <w:r>
        <w:t xml:space="preserve">Počas </w:t>
      </w:r>
      <w:r w:rsidR="00D62FCE" w:rsidRPr="00D36E49">
        <w:t>zmluvného obdobia je Odberateľ povinný odobrať minimálne zmluvné množstvo AMQ. Ak Odberateľ odoberie menej ako AMQ spolu za všetky OM uvedené v tejto Zmluve, tak je povinný uhradiť zmluvnú pokutu podľa článku VIII. tejto Zmluvy za množstvo neodobratého plynu PAQ vypočítaného nasledovne:</w:t>
      </w:r>
    </w:p>
    <w:p w:rsidR="00D36E49" w:rsidRDefault="00D62FCE" w:rsidP="00B23688">
      <w:pPr>
        <w:pStyle w:val="Podkapitoly"/>
        <w:numPr>
          <w:ilvl w:val="0"/>
          <w:numId w:val="0"/>
        </w:numPr>
        <w:ind w:left="851"/>
        <w:jc w:val="both"/>
      </w:pPr>
      <w:r w:rsidRPr="00D36E49">
        <w:t>Penalizovaný neodber plynu sa vypočíta nasledovne:</w:t>
      </w:r>
    </w:p>
    <w:p w:rsidR="005C72DD" w:rsidRDefault="005C72DD" w:rsidP="00B23688">
      <w:pPr>
        <w:pStyle w:val="Podkapitoly"/>
        <w:numPr>
          <w:ilvl w:val="0"/>
          <w:numId w:val="0"/>
        </w:numPr>
        <w:ind w:left="851"/>
        <w:jc w:val="both"/>
      </w:pPr>
    </w:p>
    <w:p w:rsidR="00D36E49" w:rsidRPr="00170EB6" w:rsidRDefault="008E4BAF" w:rsidP="008E4BAF">
      <w:pPr>
        <w:pStyle w:val="Podkapitoly"/>
        <w:numPr>
          <w:ilvl w:val="0"/>
          <w:numId w:val="0"/>
        </w:numPr>
        <w:ind w:left="576"/>
        <w:jc w:val="center"/>
        <w:rPr>
          <w:b/>
        </w:rPr>
      </w:pPr>
      <w:r>
        <w:rPr>
          <w:b/>
        </w:rPr>
        <w:t xml:space="preserve">PAQ = </w:t>
      </w:r>
      <w:r w:rsidR="00D62FCE" w:rsidRPr="00170EB6">
        <w:rPr>
          <w:b/>
        </w:rPr>
        <w:t xml:space="preserve">AMQ </w:t>
      </w:r>
      <w:r w:rsidR="00D36E49" w:rsidRPr="00170EB6">
        <w:rPr>
          <w:b/>
        </w:rPr>
        <w:t>–</w:t>
      </w:r>
      <w:r w:rsidR="00D62FCE" w:rsidRPr="00170EB6">
        <w:rPr>
          <w:b/>
        </w:rPr>
        <w:t xml:space="preserve"> AE</w:t>
      </w:r>
    </w:p>
    <w:p w:rsidR="00B23688" w:rsidRDefault="00D62FCE" w:rsidP="00B23688">
      <w:pPr>
        <w:pStyle w:val="Podkapitoly"/>
        <w:numPr>
          <w:ilvl w:val="0"/>
          <w:numId w:val="0"/>
        </w:numPr>
        <w:ind w:left="851"/>
        <w:jc w:val="both"/>
      </w:pPr>
      <w:r w:rsidRPr="00D62FCE">
        <w:t>kde:</w:t>
      </w:r>
    </w:p>
    <w:p w:rsidR="00B23688" w:rsidRDefault="00D62FCE" w:rsidP="00B23688">
      <w:pPr>
        <w:pStyle w:val="Podkapitoly"/>
        <w:numPr>
          <w:ilvl w:val="0"/>
          <w:numId w:val="0"/>
        </w:numPr>
        <w:ind w:left="851"/>
        <w:jc w:val="both"/>
      </w:pPr>
      <w:r w:rsidRPr="00170EB6">
        <w:rPr>
          <w:b/>
        </w:rPr>
        <w:t>PAQ</w:t>
      </w:r>
      <w:r w:rsidR="00B23688">
        <w:t xml:space="preserve"> = </w:t>
      </w:r>
      <w:r w:rsidRPr="00D62FCE">
        <w:t>penalizovaný neodber plynu v MWh za všetky OM uvedené v tejto Zmluve</w:t>
      </w:r>
    </w:p>
    <w:p w:rsidR="00B23688" w:rsidRDefault="00D62FCE" w:rsidP="00B23688">
      <w:pPr>
        <w:pStyle w:val="Podkapitoly"/>
        <w:numPr>
          <w:ilvl w:val="0"/>
          <w:numId w:val="0"/>
        </w:numPr>
        <w:ind w:left="851"/>
        <w:jc w:val="both"/>
      </w:pPr>
      <w:r w:rsidRPr="00170EB6">
        <w:rPr>
          <w:b/>
        </w:rPr>
        <w:t>AE</w:t>
      </w:r>
      <w:r w:rsidR="00B23688">
        <w:t xml:space="preserve"> = </w:t>
      </w:r>
      <w:r w:rsidRPr="00D62FCE">
        <w:t xml:space="preserve">skutočne odobraté množstvo plynu v MWh za </w:t>
      </w:r>
      <w:r w:rsidR="00D36E49">
        <w:t xml:space="preserve">všetky OM uvedené v tejto </w:t>
      </w:r>
      <w:r w:rsidRPr="00D62FCE">
        <w:t>Zmluve</w:t>
      </w:r>
    </w:p>
    <w:p w:rsidR="00D36E49" w:rsidRDefault="00D62FCE" w:rsidP="00B23688">
      <w:pPr>
        <w:pStyle w:val="Podkapitoly"/>
        <w:numPr>
          <w:ilvl w:val="0"/>
          <w:numId w:val="0"/>
        </w:numPr>
        <w:ind w:left="851"/>
      </w:pPr>
      <w:r w:rsidRPr="00D62FCE">
        <w:t xml:space="preserve">a </w:t>
      </w:r>
    </w:p>
    <w:p w:rsidR="00D36E49" w:rsidRPr="008E4BAF" w:rsidRDefault="008E4BAF" w:rsidP="008E4BAF">
      <w:pPr>
        <w:pStyle w:val="Podkapitoly"/>
        <w:numPr>
          <w:ilvl w:val="0"/>
          <w:numId w:val="0"/>
        </w:numPr>
        <w:ind w:left="576"/>
        <w:jc w:val="center"/>
        <w:rPr>
          <w:b/>
        </w:rPr>
      </w:pPr>
      <w:r>
        <w:rPr>
          <w:b/>
        </w:rPr>
        <w:t xml:space="preserve">AMQ </w:t>
      </w:r>
      <w:r w:rsidRPr="0049250E">
        <w:rPr>
          <w:b/>
        </w:rPr>
        <w:t>= 0,</w:t>
      </w:r>
      <w:r w:rsidR="00DF2E81">
        <w:rPr>
          <w:b/>
        </w:rPr>
        <w:t>75</w:t>
      </w:r>
      <w:r w:rsidRPr="0049250E">
        <w:rPr>
          <w:b/>
        </w:rPr>
        <w:t xml:space="preserve"> x</w:t>
      </w:r>
      <w:r>
        <w:rPr>
          <w:b/>
        </w:rPr>
        <w:t xml:space="preserve"> </w:t>
      </w:r>
      <w:r w:rsidR="00D62FCE" w:rsidRPr="008E4BAF">
        <w:rPr>
          <w:b/>
        </w:rPr>
        <w:t>ACQ – D</w:t>
      </w:r>
    </w:p>
    <w:p w:rsidR="00B23688" w:rsidRDefault="00D62FCE" w:rsidP="00B23688">
      <w:pPr>
        <w:pStyle w:val="Podkapitoly"/>
        <w:numPr>
          <w:ilvl w:val="0"/>
          <w:numId w:val="0"/>
        </w:numPr>
        <w:ind w:left="851"/>
      </w:pPr>
      <w:r w:rsidRPr="00D62FCE">
        <w:t>Kde:</w:t>
      </w:r>
    </w:p>
    <w:p w:rsidR="00B23688" w:rsidRPr="0049250E" w:rsidRDefault="00170EB6" w:rsidP="00B23688">
      <w:pPr>
        <w:pStyle w:val="Podkapitoly"/>
        <w:numPr>
          <w:ilvl w:val="0"/>
          <w:numId w:val="0"/>
        </w:numPr>
        <w:ind w:left="851"/>
        <w:jc w:val="both"/>
      </w:pPr>
      <w:r w:rsidRPr="0049250E">
        <w:rPr>
          <w:b/>
        </w:rPr>
        <w:t xml:space="preserve">ACQ </w:t>
      </w:r>
      <w:r w:rsidR="00B23688" w:rsidRPr="0049250E">
        <w:t xml:space="preserve">= </w:t>
      </w:r>
      <w:r w:rsidR="001E7FC9" w:rsidRPr="0049250E">
        <w:t xml:space="preserve">celkové zmluvné </w:t>
      </w:r>
      <w:r w:rsidR="00D62FCE" w:rsidRPr="0049250E">
        <w:t>ročné množstvo pl</w:t>
      </w:r>
      <w:r w:rsidR="001E7FC9" w:rsidRPr="0049250E">
        <w:t xml:space="preserve">ynu v MWh za všetky OM uvedené </w:t>
      </w:r>
      <w:r w:rsidR="00D62FCE" w:rsidRPr="0049250E">
        <w:t>v tejto Zmluve</w:t>
      </w:r>
    </w:p>
    <w:p w:rsidR="00B23688" w:rsidRDefault="00170EB6" w:rsidP="00B23688">
      <w:pPr>
        <w:pStyle w:val="Podkapitoly"/>
        <w:numPr>
          <w:ilvl w:val="0"/>
          <w:numId w:val="0"/>
        </w:numPr>
        <w:ind w:left="851"/>
        <w:jc w:val="both"/>
      </w:pPr>
      <w:r w:rsidRPr="0049250E">
        <w:rPr>
          <w:b/>
        </w:rPr>
        <w:t>0,</w:t>
      </w:r>
      <w:r w:rsidR="00DF2E81">
        <w:rPr>
          <w:b/>
        </w:rPr>
        <w:t>75</w:t>
      </w:r>
      <w:r w:rsidRPr="0049250E">
        <w:t xml:space="preserve"> =</w:t>
      </w:r>
      <w:r w:rsidRPr="0049250E">
        <w:tab/>
      </w:r>
      <w:r w:rsidR="00D62FCE" w:rsidRPr="0049250E">
        <w:t>koeficient</w:t>
      </w:r>
      <w:r w:rsidR="00D62FCE" w:rsidRPr="00D62FCE">
        <w:t xml:space="preserve"> odberovej povinnosti</w:t>
      </w:r>
    </w:p>
    <w:p w:rsidR="00D62FCE" w:rsidRDefault="00170EB6" w:rsidP="00B23688">
      <w:pPr>
        <w:pStyle w:val="Podkapitoly"/>
        <w:numPr>
          <w:ilvl w:val="0"/>
          <w:numId w:val="0"/>
        </w:numPr>
        <w:ind w:left="851"/>
        <w:jc w:val="both"/>
      </w:pPr>
      <w:r w:rsidRPr="00170EB6">
        <w:rPr>
          <w:b/>
        </w:rPr>
        <w:t>D</w:t>
      </w:r>
      <w:r w:rsidR="00B23688">
        <w:t xml:space="preserve"> = </w:t>
      </w:r>
      <w:r w:rsidR="00D62FCE" w:rsidRPr="00D62FCE">
        <w:t>celkové množstvo plynu, ktoré Dodávateľ z akéhokoľvek dôvodu nedodal alebo Odberateľ neodobral z dôvodov uvedených v odseku 4.1</w:t>
      </w:r>
      <w:r w:rsidR="0049250E">
        <w:t>2</w:t>
      </w:r>
      <w:r w:rsidR="00D62FCE" w:rsidRPr="00D62FCE">
        <w:t xml:space="preserve"> tohto článku v MWh za všetky OM uvedené v tejto Zmluve</w:t>
      </w:r>
      <w:r w:rsidR="00F61705">
        <w:t>.</w:t>
      </w:r>
    </w:p>
    <w:p w:rsidR="00F61705" w:rsidRDefault="00F61705" w:rsidP="00F61705">
      <w:pPr>
        <w:pStyle w:val="Podkapitoly"/>
        <w:numPr>
          <w:ilvl w:val="0"/>
          <w:numId w:val="0"/>
        </w:numPr>
        <w:ind w:left="851" w:hanging="567"/>
        <w:jc w:val="both"/>
      </w:pPr>
    </w:p>
    <w:p w:rsidR="00170EB6" w:rsidRDefault="00170EB6" w:rsidP="00B96530">
      <w:pPr>
        <w:pStyle w:val="lnky"/>
        <w:spacing w:before="240"/>
      </w:pPr>
    </w:p>
    <w:p w:rsidR="00D01CDA" w:rsidRPr="00B23688" w:rsidRDefault="00D62FCE" w:rsidP="00B23688">
      <w:pPr>
        <w:pStyle w:val="lnky"/>
        <w:numPr>
          <w:ilvl w:val="0"/>
          <w:numId w:val="0"/>
        </w:numPr>
        <w:spacing w:after="240"/>
        <w:rPr>
          <w:b/>
          <w:sz w:val="22"/>
        </w:rPr>
      </w:pPr>
      <w:r w:rsidRPr="00170EB6">
        <w:rPr>
          <w:b/>
          <w:sz w:val="22"/>
        </w:rPr>
        <w:t>Postup pri dodávkach zemného plynu</w:t>
      </w:r>
    </w:p>
    <w:p w:rsidR="00170EB6" w:rsidRDefault="00D62FCE" w:rsidP="00D01CDA">
      <w:pPr>
        <w:pStyle w:val="Podkapitoly"/>
        <w:jc w:val="both"/>
      </w:pPr>
      <w:r w:rsidRPr="00D62FCE">
        <w:t>Pre zabezpečenie dodávok zemného plynu na základe tejto Zmluvy, predkladá Odberateľ Dodávateľovi prognózy odberov a nominácie dodávok v rámci množstva plynu, dohodnutého v článku III. tejto Zmluvy. Spôsob predkladania prognóz a nominácií je predmetom „Dispečerského postupu“, ktorý tvorí Prílohu č. 3 tejto Zmluvy.</w:t>
      </w:r>
    </w:p>
    <w:p w:rsidR="00170EB6" w:rsidRDefault="00D62FCE" w:rsidP="00170EB6">
      <w:pPr>
        <w:pStyle w:val="Podkapitoly"/>
        <w:jc w:val="both"/>
      </w:pPr>
      <w:r w:rsidRPr="00170EB6">
        <w:t xml:space="preserve">Dodávateľ je oprávnený odmietnuť požiadavku Odberateľa na dennú </w:t>
      </w:r>
      <w:r w:rsidR="001E7FC9">
        <w:t xml:space="preserve">dodávku plynu, prevyšujúcu DCQ </w:t>
      </w:r>
      <w:r w:rsidRPr="00170EB6">
        <w:t>uvedené v článku III. odsek 3.1 tejto Zmluvy.</w:t>
      </w:r>
    </w:p>
    <w:p w:rsidR="00170EB6" w:rsidRDefault="00D62FCE" w:rsidP="00170EB6">
      <w:pPr>
        <w:pStyle w:val="Podkapitoly"/>
        <w:jc w:val="both"/>
      </w:pPr>
      <w:r w:rsidRPr="00170EB6">
        <w:t>Údaje v zmysle bodu 5.1 tohto článku sú doručené Dodáva</w:t>
      </w:r>
      <w:r w:rsidR="001E7FC9">
        <w:t>teľovi podľa zásad dohodnutých v</w:t>
      </w:r>
      <w:r w:rsidRPr="00170EB6">
        <w:t xml:space="preserve"> Prílohe č.</w:t>
      </w:r>
      <w:r w:rsidR="001E7FC9">
        <w:t xml:space="preserve"> </w:t>
      </w:r>
      <w:r w:rsidRPr="00170EB6">
        <w:t>3 tejto Zmluvy. Tieto údaje sú pre Dodávateľa záväzné ako podklad pre</w:t>
      </w:r>
      <w:r w:rsidR="001E7FC9">
        <w:t xml:space="preserve"> objednávanie plynu. Odberateľ </w:t>
      </w:r>
      <w:r w:rsidRPr="00170EB6">
        <w:t>sa zaväzuje poskytovať čo najpresnejšie podklady/údaje.</w:t>
      </w:r>
    </w:p>
    <w:p w:rsidR="00170EB6" w:rsidRDefault="00D62FCE" w:rsidP="00170EB6">
      <w:pPr>
        <w:pStyle w:val="Podkapitoly"/>
        <w:jc w:val="both"/>
      </w:pPr>
      <w:r w:rsidRPr="00170EB6">
        <w:t>Dodávateľ neodkladne oznámi Odberateľovi akékoľvek informácie, ktoré sa týkajú zámeru prerušiť a/alebo obmedziť dodávku zemného plynu, získané od prevádzkovateľa distribučnej siete a/alebo prepravnej siete.</w:t>
      </w:r>
    </w:p>
    <w:p w:rsidR="00F61705" w:rsidRDefault="00D62FCE" w:rsidP="00B96530">
      <w:pPr>
        <w:pStyle w:val="Podkapitoly"/>
        <w:spacing w:line="276" w:lineRule="auto"/>
        <w:jc w:val="both"/>
      </w:pPr>
      <w:r w:rsidRPr="00170EB6">
        <w:t>Odberateľ neodkladne ozn</w:t>
      </w:r>
      <w:r w:rsidR="00B96530">
        <w:t>ámi Dodávateľovi zámer prerušiť</w:t>
      </w:r>
      <w:r w:rsidRPr="00170EB6">
        <w:t xml:space="preserve"> a/ale</w:t>
      </w:r>
      <w:r w:rsidR="00B96530">
        <w:t>bo obmedziť odber zemného plynu</w:t>
      </w:r>
      <w:r w:rsidRPr="00170EB6">
        <w:t xml:space="preserve"> spôsobený</w:t>
      </w:r>
      <w:r w:rsidR="00B96530">
        <w:t xml:space="preserve"> okolnosťami</w:t>
      </w:r>
      <w:r w:rsidRPr="00170EB6">
        <w:t xml:space="preserve"> vylučujúcimi zodpovednosť. V prípade opravy a rekonštrukcie odberného plynárenského zariadenia Odberateľ tieto skutočnosti oznámi Dodávateľovi neodkladne, najneskôr však 15 dní vopred.</w:t>
      </w:r>
    </w:p>
    <w:p w:rsidR="00D62FCE" w:rsidRPr="00B96530" w:rsidRDefault="00D62FCE" w:rsidP="00F61705">
      <w:pPr>
        <w:pStyle w:val="Podkapitoly"/>
        <w:numPr>
          <w:ilvl w:val="0"/>
          <w:numId w:val="0"/>
        </w:numPr>
        <w:spacing w:line="276" w:lineRule="auto"/>
        <w:ind w:left="851"/>
        <w:jc w:val="both"/>
      </w:pPr>
      <w:r w:rsidRPr="00170EB6">
        <w:t xml:space="preserve"> </w:t>
      </w:r>
    </w:p>
    <w:p w:rsidR="00170EB6" w:rsidRDefault="00170EB6" w:rsidP="009F234E">
      <w:pPr>
        <w:pStyle w:val="lnky"/>
        <w:keepNext/>
        <w:spacing w:before="240"/>
        <w:ind w:firstLine="425"/>
      </w:pPr>
    </w:p>
    <w:p w:rsidR="00D01CDA" w:rsidRPr="00B23688" w:rsidRDefault="00D62FCE" w:rsidP="00B23688">
      <w:pPr>
        <w:pStyle w:val="lnky"/>
        <w:keepNext/>
        <w:numPr>
          <w:ilvl w:val="0"/>
          <w:numId w:val="0"/>
        </w:numPr>
        <w:spacing w:after="240"/>
        <w:rPr>
          <w:b/>
          <w:sz w:val="22"/>
        </w:rPr>
      </w:pPr>
      <w:r w:rsidRPr="00170EB6">
        <w:rPr>
          <w:b/>
          <w:sz w:val="22"/>
        </w:rPr>
        <w:t>Cena</w:t>
      </w:r>
    </w:p>
    <w:p w:rsidR="00170EB6" w:rsidRDefault="00D62FCE" w:rsidP="00B96530">
      <w:pPr>
        <w:pStyle w:val="Podkapitoly"/>
        <w:jc w:val="both"/>
      </w:pPr>
      <w:r w:rsidRPr="00D62FCE">
        <w:t xml:space="preserve">Zmluvná cena za dodávku zemného plynu je stanovená v Prílohe č. 2, ktorá je neoddeliteľnou súčasťou tejto Zmluvy. </w:t>
      </w:r>
    </w:p>
    <w:p w:rsidR="00170EB6" w:rsidRDefault="00D62FCE" w:rsidP="00170EB6">
      <w:pPr>
        <w:pStyle w:val="Podkapitoly"/>
        <w:jc w:val="both"/>
      </w:pPr>
      <w:r w:rsidRPr="00170EB6">
        <w:t>V zmluvnej cene podľa bodu 6.1 tohto článku je zahrnutá individuálna cena za služby Dodávateľa, cena za služby súvisiace s prepravou, cena za služby súvisiace s distribúciou a štruktúrovanie (uskladnenie) v súlade s Prílohou č. 2.</w:t>
      </w:r>
    </w:p>
    <w:p w:rsidR="00170EB6" w:rsidRDefault="00D62FCE" w:rsidP="00170EB6">
      <w:pPr>
        <w:pStyle w:val="Podkapitoly"/>
        <w:jc w:val="both"/>
      </w:pPr>
      <w:r w:rsidRPr="00170EB6">
        <w:t xml:space="preserve">Ceny za služby súvisiace s prepravou a distribúciou sú regulované a sú stanovené na príslušné obdobie v Cenových rozhodnutiach Úradu pre reguláciu sieťových odvetví. Periodicky sú zverejňované na </w:t>
      </w:r>
      <w:hyperlink r:id="rId8" w:history="1">
        <w:r w:rsidR="00170EB6" w:rsidRPr="001524A6">
          <w:rPr>
            <w:rStyle w:val="Hypertextovprepojenie"/>
          </w:rPr>
          <w:t>www.urso.gov.sk</w:t>
        </w:r>
      </w:hyperlink>
      <w:r w:rsidRPr="00170EB6">
        <w:t>.</w:t>
      </w:r>
    </w:p>
    <w:p w:rsidR="00170EB6" w:rsidRDefault="00D62FCE" w:rsidP="00170EB6">
      <w:pPr>
        <w:pStyle w:val="Podkapitoly"/>
        <w:jc w:val="both"/>
      </w:pPr>
      <w:r w:rsidRPr="00170EB6">
        <w:t>Cena za štruktúrovanie (uskladnenie) plynu bud</w:t>
      </w:r>
      <w:r w:rsidR="0088026B">
        <w:t>e stanovená v súlade s výpočtom</w:t>
      </w:r>
      <w:r w:rsidRPr="00170EB6">
        <w:t xml:space="preserve"> uvedeným v Prílohe č. 2.</w:t>
      </w:r>
    </w:p>
    <w:p w:rsidR="00170EB6" w:rsidRDefault="00D62FCE" w:rsidP="00170EB6">
      <w:pPr>
        <w:pStyle w:val="Podkapitoly"/>
        <w:jc w:val="both"/>
      </w:pPr>
      <w:r w:rsidRPr="00170EB6">
        <w:t>K zm</w:t>
      </w:r>
      <w:r w:rsidR="001E7FC9">
        <w:t xml:space="preserve">luvnej cene plynu podľa odsekov 6.1 a 6.2 tohto článku </w:t>
      </w:r>
      <w:r w:rsidRPr="00170EB6">
        <w:t>sa pripočítava spotrebná daň v súlade so zákonom 609/2007 Z. z. o spotrebnej dani z elektriny, uhlia a zemného plynu a o zmene a doplnení zákona č. 98/2004 Z.z. o spotrebnej dani z minerálneho oleja v znení neskorších predpisov v platnom znení (ďalej len zákon č. 609/2007 Z.z.). Ak je Odberateľ oprávnený odoberať zemný plyn oslobodený od dane v zmysle § 31 ods. 1 písm. a) až e) zákon</w:t>
      </w:r>
      <w:r w:rsidR="001E7FC9">
        <w:t xml:space="preserve">a č. 609/2007 Z. z., Odberateľ </w:t>
      </w:r>
      <w:r w:rsidRPr="00170EB6">
        <w:t>je povinný predložiť Dodávateľovi originál alebo notárom overenú kópiu povolenia (kópiu určenú pr</w:t>
      </w:r>
      <w:r w:rsidR="001E7FC9">
        <w:t xml:space="preserve">e dodávateľa zemného plynu) na </w:t>
      </w:r>
      <w:r w:rsidRPr="00170EB6">
        <w:t xml:space="preserve">odber zemného plynu oslobodeného od dane, ktorú vystavil colný úrad prípadne iný príslušný orgán. Odberateľ predloží povolenie najneskôr pri začatí dodávky plynu. </w:t>
      </w:r>
    </w:p>
    <w:p w:rsidR="00170EB6" w:rsidRDefault="00D62FCE" w:rsidP="00170EB6">
      <w:pPr>
        <w:pStyle w:val="Podkapitoly"/>
        <w:jc w:val="both"/>
      </w:pPr>
      <w:r w:rsidRPr="00170EB6">
        <w:t>K zmluvnej cene podľa predchádzajúcich odsekov tohto článku sa pripočíta</w:t>
      </w:r>
      <w:r w:rsidR="0088026B">
        <w:t xml:space="preserve"> sadzba dane z pridanej hodnoty</w:t>
      </w:r>
      <w:r w:rsidRPr="00170EB6">
        <w:t xml:space="preserve"> platnej v Slovenskej republike v deň zdaniteľného plnenia. </w:t>
      </w:r>
    </w:p>
    <w:p w:rsidR="00170EB6" w:rsidRDefault="00D62FCE" w:rsidP="00170EB6">
      <w:pPr>
        <w:pStyle w:val="Podkapitoly"/>
        <w:jc w:val="both"/>
      </w:pPr>
      <w:r w:rsidRPr="00170EB6">
        <w:t>Ak bude dodávka plynu alebo iné plnenie poskytnuté v súlade s touto Zmluvou priamo alebo nepriamo zaťažené akýmikoľvek daňami, poplatkami alebo odvodmi prípadne akýmikoľvek osobitnými platbami ustanovenými v Zákone o energetike, vo vykonávacích predpisoch vydaných na</w:t>
      </w:r>
      <w:r w:rsidR="0088026B">
        <w:t xml:space="preserve"> jeho základe v rozhodnutí ÚRSO,</w:t>
      </w:r>
      <w:r w:rsidRPr="00170EB6">
        <w:t xml:space="preserve"> alebo v osobitných právnych predpisoch vydaných Ministerstvom hospodárstva SR, alebo ak sa takéto dane, poplatky alebo odvody zaťažujúce dodávky plynu alebo iné plnenie poskytované v súlade s touto Zmluvou zmenia po uzatvorení tejto Zmluvy, Dodávateľ je oprávnený previesť všetky z toho vyplývajúce zaťaženia na Odberateľa prostredníctvom úpravy ceny zodpovedajúcej zvýšenému zaťaže</w:t>
      </w:r>
      <w:r w:rsidR="0088026B">
        <w:t>niu dodávok alebo iného plnenia</w:t>
      </w:r>
      <w:r w:rsidRPr="00170EB6">
        <w:t xml:space="preserve"> a Odberateľ je povinný uhradiť Dodávateľovi takúto upravenú cenu. To isté platí pre zaťaženia dodávok plynu alebo iných plnení Dodávateľa, ktoré vychádzajú zo zvýšenia daní, poplatkov, odvodov alebo osobitných platieb, ktoré sa vzťahujú na dodávky plynu alebo iné plnenia Dodávateľa. Ak Dodávateľ nie je oprávnený z dôvodu osobitného právneho predpisu alebo záväzného rozhodnutia štátneho orgánu previesť nové zaťaženie celkom alebo čiastočne na Odberateľa tak, aby bola jej úhrada zo strany Odberateľa vymáhateľná, Dodávateľ je oprávnený odstúpiť od tejto Zmluvy.</w:t>
      </w:r>
    </w:p>
    <w:p w:rsidR="00D62FCE" w:rsidRDefault="00D62FCE" w:rsidP="00B96530">
      <w:pPr>
        <w:pStyle w:val="Podkapitoly"/>
        <w:spacing w:line="276" w:lineRule="auto"/>
        <w:jc w:val="both"/>
      </w:pPr>
      <w:r w:rsidRPr="00170EB6">
        <w:t xml:space="preserve">Zásady prepočtu objemových jednotiek množstva plynu na energiu a podmienky, </w:t>
      </w:r>
      <w:r w:rsidR="001E7FC9">
        <w:t xml:space="preserve">za ktorých sa vykonáva určenie </w:t>
      </w:r>
      <w:r w:rsidRPr="00170EB6">
        <w:t xml:space="preserve">objemu plynu a spaľovacieho tepla objemového sa vykonáva v zmysle vyhlášky Ministerstva hospodárstva SR č. 269/2012 Z.z. </w:t>
      </w:r>
    </w:p>
    <w:p w:rsidR="00F61705" w:rsidRDefault="00F61705" w:rsidP="00F61705">
      <w:pPr>
        <w:pStyle w:val="Podkapitoly"/>
        <w:numPr>
          <w:ilvl w:val="0"/>
          <w:numId w:val="0"/>
        </w:numPr>
        <w:spacing w:line="276" w:lineRule="auto"/>
        <w:ind w:left="851"/>
        <w:jc w:val="both"/>
      </w:pPr>
    </w:p>
    <w:p w:rsidR="00170EB6" w:rsidRDefault="00170EB6" w:rsidP="00B96530">
      <w:pPr>
        <w:pStyle w:val="lnky"/>
        <w:spacing w:before="240"/>
      </w:pPr>
    </w:p>
    <w:p w:rsidR="00D01CDA" w:rsidRPr="00B23688" w:rsidRDefault="00D62FCE" w:rsidP="00B23688">
      <w:pPr>
        <w:pStyle w:val="lnky"/>
        <w:numPr>
          <w:ilvl w:val="0"/>
          <w:numId w:val="0"/>
        </w:numPr>
        <w:spacing w:after="240"/>
        <w:rPr>
          <w:b/>
          <w:sz w:val="22"/>
        </w:rPr>
      </w:pPr>
      <w:r w:rsidRPr="00170EB6">
        <w:rPr>
          <w:b/>
          <w:sz w:val="22"/>
        </w:rPr>
        <w:t>Platobné podmienky</w:t>
      </w:r>
    </w:p>
    <w:p w:rsidR="00170EB6" w:rsidRDefault="00D62FCE" w:rsidP="0045026E">
      <w:pPr>
        <w:pStyle w:val="Podkapitoly"/>
        <w:jc w:val="both"/>
      </w:pPr>
      <w:r w:rsidRPr="00D62FCE">
        <w:t>Platby za dodávku plynu a služby v združenej dodávke ply</w:t>
      </w:r>
      <w:r w:rsidR="001E7FC9">
        <w:t xml:space="preserve">nu budú realizované na základe </w:t>
      </w:r>
      <w:r w:rsidRPr="00D62FCE">
        <w:t>faktúry, s prehľadným rozdelením fakturovaných položiek a daní v súlade s platnými všeobecne záväznými právnymi predpismi Slovenskej republiky.</w:t>
      </w:r>
    </w:p>
    <w:p w:rsidR="00170EB6" w:rsidRPr="0049250E" w:rsidRDefault="00D62FCE" w:rsidP="0045026E">
      <w:pPr>
        <w:pStyle w:val="Podkapitoly"/>
        <w:jc w:val="both"/>
      </w:pPr>
      <w:r w:rsidRPr="0049250E">
        <w:t>Odberateľ je povinný uhradiť preddavkovú platbu (zálohu) vo výške ceny, ktorá zodpovedá 50% predpokladanému mesačnému odberu. Preddavková platba (záloha) bude stanovená v súlade s Prílohou č.</w:t>
      </w:r>
      <w:r w:rsidR="001E7FC9" w:rsidRPr="0049250E">
        <w:t xml:space="preserve"> </w:t>
      </w:r>
      <w:r w:rsidRPr="0049250E">
        <w:t>2 so splatnosťo</w:t>
      </w:r>
      <w:r w:rsidR="001E7FC9" w:rsidRPr="0049250E">
        <w:t>u vždy k 15. kalendárnemu dňu v</w:t>
      </w:r>
      <w:r w:rsidRPr="0049250E">
        <w:t xml:space="preserve"> mesiaci dodávky.</w:t>
      </w:r>
    </w:p>
    <w:p w:rsidR="00170EB6" w:rsidRDefault="001E7FC9" w:rsidP="0045026E">
      <w:pPr>
        <w:pStyle w:val="Podkapitoly"/>
        <w:jc w:val="both"/>
      </w:pPr>
      <w:r>
        <w:t>Fakturačným</w:t>
      </w:r>
      <w:r w:rsidR="00D62FCE" w:rsidRPr="00170EB6">
        <w:t xml:space="preserve"> obdobím j</w:t>
      </w:r>
      <w:r>
        <w:t xml:space="preserve">e kalendárny mesiac. Dodávateľ </w:t>
      </w:r>
      <w:r w:rsidR="00D62FCE" w:rsidRPr="00170EB6">
        <w:t>je oprávnený vystaviť vyúčtovaciu faktúru za predchádzajúci kalendárny me</w:t>
      </w:r>
      <w:r>
        <w:t xml:space="preserve">siac a doručiť ju Odberateľovi </w:t>
      </w:r>
      <w:r w:rsidR="00D62FCE" w:rsidRPr="00170EB6">
        <w:t xml:space="preserve">do 10. kalendárneho dňa po skončení príslušného kalendárneho mesiaca. </w:t>
      </w:r>
    </w:p>
    <w:p w:rsidR="00170EB6" w:rsidRDefault="00D62FCE" w:rsidP="0045026E">
      <w:pPr>
        <w:pStyle w:val="Podkapitoly"/>
        <w:jc w:val="both"/>
      </w:pPr>
      <w:r w:rsidRPr="00170EB6">
        <w:t>Podkladom pre vystavenie vyúčtovacej faktúry na celkové množstvo odobratého plynu v príslušnom kalendárnom mesiaci bude namerané množstvo plynu v OM, resp. jednotlivých OM predložené Dodávateľovi zo strany PDS, v prípade iného spôsobu určenia spotreby budú zmluvné strany postupovať v zmysle prevádzkové poriadku PDS.</w:t>
      </w:r>
    </w:p>
    <w:p w:rsidR="00170EB6" w:rsidRPr="0049250E" w:rsidRDefault="00D62FCE" w:rsidP="0045026E">
      <w:pPr>
        <w:pStyle w:val="Podkapitoly"/>
        <w:jc w:val="both"/>
      </w:pPr>
      <w:r w:rsidRPr="0049250E">
        <w:t xml:space="preserve">Zmluvné strany sa dohodli, že Dodávateľom vystavované vyúčtovacie faktúry za skutočný odber plynu v príslušnom kalendárnom mesiaci budú splatné </w:t>
      </w:r>
      <w:r w:rsidR="00C97FB3" w:rsidRPr="00C97FB3">
        <w:t>do 14 dní od doručenia faktúry Odberateľovi.</w:t>
      </w:r>
    </w:p>
    <w:p w:rsidR="00170EB6" w:rsidRDefault="00D62FCE" w:rsidP="0045026E">
      <w:pPr>
        <w:pStyle w:val="Podkapitoly"/>
        <w:jc w:val="both"/>
      </w:pPr>
      <w:r w:rsidRPr="00170EB6">
        <w:t>Rozhodujúcim dátumom pre splnenie platobných povinností Odberateľa uvedených v tejto zmluve je dátum pripísania peňažných prostriedkov na účet Dodávateľa.</w:t>
      </w:r>
    </w:p>
    <w:p w:rsidR="00170EB6" w:rsidRDefault="00D62FCE" w:rsidP="0088026B">
      <w:pPr>
        <w:pStyle w:val="Podkapitoly"/>
        <w:jc w:val="both"/>
      </w:pPr>
      <w:r w:rsidRPr="00170EB6">
        <w:t xml:space="preserve">Faktúra – daňový doklad </w:t>
      </w:r>
      <w:r w:rsidR="0088026B">
        <w:t xml:space="preserve">– </w:t>
      </w:r>
      <w:r w:rsidRPr="00170EB6">
        <w:t xml:space="preserve">musí obsahovať náležitosti vyplývajúce zo všeobecne záväzných právnych predpisov na území SR. </w:t>
      </w:r>
    </w:p>
    <w:p w:rsidR="00170EB6" w:rsidRDefault="00D62FCE" w:rsidP="0045026E">
      <w:pPr>
        <w:pStyle w:val="Podkapitoly"/>
        <w:jc w:val="both"/>
      </w:pPr>
      <w:r w:rsidRPr="00170EB6">
        <w:t>Pri realizácii platby je Odberateľ povinný identifikovať platbu</w:t>
      </w:r>
      <w:r w:rsidR="0088026B">
        <w:t xml:space="preserve"> v súlade s vystavenou faktúrou</w:t>
      </w:r>
      <w:r w:rsidRPr="00170EB6">
        <w:t xml:space="preserve"> tak, že uvedie do variabilného symbolu (VS) na prevodnom príkaze číslo faktúry vystavenej Dodávateľom, v opačnom prípade sa dostáva do omeškania s úhradou príslušnej sumy až do času identifikácie platby.</w:t>
      </w:r>
    </w:p>
    <w:p w:rsidR="00170EB6" w:rsidRDefault="00D62FCE" w:rsidP="0045026E">
      <w:pPr>
        <w:pStyle w:val="Podkapitoly"/>
        <w:jc w:val="both"/>
      </w:pPr>
      <w:r w:rsidRPr="00170EB6">
        <w:t>Ak deň splatnosti fakturovanej sumy pripadne na sobotu, nedeľu alebo sviatok, dňom splatnosti je nasledujúci pracovný deň.</w:t>
      </w:r>
    </w:p>
    <w:p w:rsidR="00D20DEF" w:rsidRDefault="00D62FCE" w:rsidP="00D20DEF">
      <w:pPr>
        <w:pStyle w:val="Podkapitoly"/>
        <w:jc w:val="both"/>
      </w:pPr>
      <w:r w:rsidRPr="00170EB6">
        <w:t>Korešpondenčná a e-mailová adresa pre zasielanie faktúr a s nimi súvisiace náležitosti:</w:t>
      </w:r>
    </w:p>
    <w:p w:rsidR="005C72DD" w:rsidRDefault="005C72DD" w:rsidP="005C72DD">
      <w:pPr>
        <w:pStyle w:val="Podkapitoly"/>
        <w:numPr>
          <w:ilvl w:val="0"/>
          <w:numId w:val="0"/>
        </w:numPr>
        <w:ind w:left="851"/>
        <w:jc w:val="both"/>
      </w:pPr>
    </w:p>
    <w:p w:rsidR="005C72DD" w:rsidRPr="005C72DD" w:rsidRDefault="00D62FCE" w:rsidP="005C72DD">
      <w:pPr>
        <w:pStyle w:val="Podkapitoly"/>
        <w:numPr>
          <w:ilvl w:val="0"/>
          <w:numId w:val="0"/>
        </w:numPr>
        <w:ind w:left="851"/>
        <w:jc w:val="both"/>
        <w:rPr>
          <w:u w:val="single"/>
        </w:rPr>
      </w:pPr>
      <w:r w:rsidRPr="00D20DEF">
        <w:rPr>
          <w:u w:val="single"/>
        </w:rPr>
        <w:t xml:space="preserve">Za Dodávateľa: </w:t>
      </w:r>
    </w:p>
    <w:p w:rsidR="00D20DEF" w:rsidRDefault="00D62FCE" w:rsidP="00D20DEF">
      <w:pPr>
        <w:pStyle w:val="Podkapitoly"/>
        <w:numPr>
          <w:ilvl w:val="0"/>
          <w:numId w:val="0"/>
        </w:numPr>
        <w:ind w:left="851"/>
        <w:jc w:val="both"/>
      </w:pPr>
      <w:r w:rsidRPr="00D62FCE">
        <w:t xml:space="preserve">Obchodné meno: </w:t>
      </w:r>
      <w:r w:rsidRPr="00D62FCE">
        <w:tab/>
      </w:r>
      <w:r w:rsidRPr="008E4BAF">
        <w:rPr>
          <w:b/>
        </w:rPr>
        <w:t>VEMEX ENERGO s.r.o.</w:t>
      </w:r>
    </w:p>
    <w:p w:rsidR="00D20DEF" w:rsidRDefault="001E7FC9" w:rsidP="00D20DEF">
      <w:pPr>
        <w:pStyle w:val="Podkapitoly"/>
        <w:numPr>
          <w:ilvl w:val="0"/>
          <w:numId w:val="0"/>
        </w:numPr>
        <w:ind w:left="851"/>
        <w:jc w:val="both"/>
      </w:pPr>
      <w:r>
        <w:t xml:space="preserve">so sídlom: </w:t>
      </w:r>
      <w:r>
        <w:tab/>
      </w:r>
      <w:r>
        <w:tab/>
        <w:t xml:space="preserve">Moyzesova 936/5, 811 05 </w:t>
      </w:r>
      <w:r w:rsidR="00D62FCE" w:rsidRPr="00D62FCE">
        <w:t>Bratislava</w:t>
      </w:r>
    </w:p>
    <w:p w:rsidR="005C72DD" w:rsidRDefault="00D62FCE" w:rsidP="005C72DD">
      <w:pPr>
        <w:pStyle w:val="Podkapitoly"/>
        <w:numPr>
          <w:ilvl w:val="0"/>
          <w:numId w:val="0"/>
        </w:numPr>
        <w:ind w:left="851"/>
        <w:jc w:val="both"/>
        <w:rPr>
          <w:rStyle w:val="Hypertextovprepojenie"/>
        </w:rPr>
      </w:pPr>
      <w:r w:rsidRPr="00D62FCE">
        <w:t>e-mail:</w:t>
      </w:r>
      <w:r w:rsidRPr="00D62FCE">
        <w:tab/>
      </w:r>
      <w:r w:rsidRPr="00D62FCE">
        <w:tab/>
      </w:r>
    </w:p>
    <w:p w:rsidR="005C72DD" w:rsidRDefault="005C72DD" w:rsidP="00D20DEF">
      <w:pPr>
        <w:pStyle w:val="Podkapitoly"/>
        <w:numPr>
          <w:ilvl w:val="0"/>
          <w:numId w:val="0"/>
        </w:numPr>
        <w:ind w:left="851"/>
        <w:jc w:val="both"/>
      </w:pPr>
    </w:p>
    <w:p w:rsidR="00D20DEF" w:rsidRDefault="00D62FCE" w:rsidP="00D20DEF">
      <w:pPr>
        <w:pStyle w:val="Podkapitoly"/>
        <w:numPr>
          <w:ilvl w:val="0"/>
          <w:numId w:val="0"/>
        </w:numPr>
        <w:ind w:left="851"/>
        <w:jc w:val="both"/>
      </w:pPr>
      <w:r w:rsidRPr="008E4BAF">
        <w:rPr>
          <w:u w:val="single"/>
        </w:rPr>
        <w:t xml:space="preserve">Za Odberateľa: </w:t>
      </w:r>
    </w:p>
    <w:p w:rsidR="00D20DEF" w:rsidRPr="003D6595" w:rsidRDefault="00D62FCE" w:rsidP="00D20DEF">
      <w:pPr>
        <w:pStyle w:val="Podkapitoly"/>
        <w:numPr>
          <w:ilvl w:val="0"/>
          <w:numId w:val="0"/>
        </w:numPr>
        <w:ind w:left="851"/>
        <w:jc w:val="both"/>
        <w:rPr>
          <w:b/>
        </w:rPr>
      </w:pPr>
      <w:r w:rsidRPr="00D62FCE">
        <w:t xml:space="preserve">Obchodné meno: </w:t>
      </w:r>
      <w:r w:rsidRPr="00D62FCE">
        <w:tab/>
      </w:r>
      <w:r w:rsidR="003D6595" w:rsidRPr="003D6595">
        <w:rPr>
          <w:b/>
        </w:rPr>
        <w:t>KSP, s.r.o.</w:t>
      </w:r>
    </w:p>
    <w:p w:rsidR="003D6595" w:rsidRDefault="001E7FC9" w:rsidP="00D20DEF">
      <w:pPr>
        <w:pStyle w:val="Podkapitoly"/>
        <w:numPr>
          <w:ilvl w:val="0"/>
          <w:numId w:val="0"/>
        </w:numPr>
        <w:ind w:left="851"/>
        <w:jc w:val="both"/>
      </w:pPr>
      <w:r>
        <w:t>so sídlom:</w:t>
      </w:r>
      <w:r w:rsidR="00D62FCE" w:rsidRPr="00D62FCE">
        <w:t xml:space="preserve"> </w:t>
      </w:r>
      <w:r w:rsidR="00D62FCE" w:rsidRPr="00D62FCE">
        <w:tab/>
      </w:r>
      <w:r w:rsidR="00D62FCE" w:rsidRPr="00D62FCE">
        <w:tab/>
      </w:r>
      <w:r w:rsidR="003D6595" w:rsidRPr="003D6595">
        <w:t xml:space="preserve">Vajnorská 135, 831 04 Bratislava </w:t>
      </w:r>
    </w:p>
    <w:p w:rsidR="00D62FCE" w:rsidRDefault="004F5910" w:rsidP="00D20DEF">
      <w:pPr>
        <w:pStyle w:val="Podkapitoly"/>
        <w:numPr>
          <w:ilvl w:val="0"/>
          <w:numId w:val="0"/>
        </w:numPr>
        <w:ind w:left="851"/>
        <w:jc w:val="both"/>
      </w:pPr>
      <w:r>
        <w:t>e-mail:</w:t>
      </w:r>
    </w:p>
    <w:p w:rsidR="00C97FB3" w:rsidRDefault="00C97FB3" w:rsidP="00C97FB3">
      <w:pPr>
        <w:pStyle w:val="Podkapitoly"/>
        <w:numPr>
          <w:ilvl w:val="0"/>
          <w:numId w:val="0"/>
        </w:numPr>
        <w:tabs>
          <w:tab w:val="left" w:pos="284"/>
        </w:tabs>
        <w:ind w:left="851"/>
        <w:jc w:val="both"/>
      </w:pPr>
    </w:p>
    <w:p w:rsidR="00C97FB3" w:rsidRDefault="00C97FB3" w:rsidP="00C97FB3">
      <w:pPr>
        <w:pStyle w:val="Podkapitoly"/>
        <w:numPr>
          <w:ilvl w:val="0"/>
          <w:numId w:val="0"/>
        </w:numPr>
        <w:ind w:left="851" w:hanging="567"/>
        <w:jc w:val="both"/>
      </w:pPr>
      <w:r w:rsidRPr="00C97FB3">
        <w:t>7.11 Faktúra sa považuje za doručenú dňom jej doručenia písomnou formou na adresu sídla Odberateľa.</w:t>
      </w:r>
    </w:p>
    <w:p w:rsidR="00F61705" w:rsidRDefault="00F61705" w:rsidP="00C97FB3">
      <w:pPr>
        <w:pStyle w:val="Podkapitoly"/>
        <w:numPr>
          <w:ilvl w:val="0"/>
          <w:numId w:val="0"/>
        </w:numPr>
        <w:ind w:left="851" w:hanging="567"/>
        <w:jc w:val="both"/>
      </w:pPr>
    </w:p>
    <w:p w:rsidR="00170EB6" w:rsidRDefault="00170EB6" w:rsidP="00B96530">
      <w:pPr>
        <w:pStyle w:val="lnky"/>
        <w:spacing w:before="240"/>
      </w:pPr>
    </w:p>
    <w:p w:rsidR="002905B7" w:rsidRPr="00B23688" w:rsidRDefault="00D62FCE" w:rsidP="00B23688">
      <w:pPr>
        <w:pStyle w:val="lnky"/>
        <w:numPr>
          <w:ilvl w:val="0"/>
          <w:numId w:val="0"/>
        </w:numPr>
        <w:spacing w:after="240"/>
        <w:rPr>
          <w:b/>
          <w:sz w:val="22"/>
        </w:rPr>
      </w:pPr>
      <w:r w:rsidRPr="00170EB6">
        <w:rPr>
          <w:b/>
          <w:sz w:val="22"/>
        </w:rPr>
        <w:t>Sankcie</w:t>
      </w:r>
    </w:p>
    <w:p w:rsidR="00170EB6" w:rsidRDefault="00D62FCE" w:rsidP="002905B7">
      <w:pPr>
        <w:pStyle w:val="Podkapitoly"/>
        <w:jc w:val="both"/>
      </w:pPr>
      <w:r w:rsidRPr="00D62FCE">
        <w:t xml:space="preserve">Ak Dodávateľ nedodá Odberateľovi dohodnuté množstvo plynu, alebo nedodá plyn v požadovanej kvalite podľa podmienok tejto Zmluvy, má Odberateľ právo žiadať od Dodávateľa náhradu škody. Toto ustanovenie neplatí, ak nedodanie plynu bolo následkom okolností vylučujúcich zodpovednosť (vyššej moci) a/alebo bolo zavinené Odberateľom. Odberateľ nemá nárok na náhradu škody tiež v prípade, keď došlo k obmedzeniu alebo prerušeniu distribúcie a tým aj dodávok plynu zo strany PDS v súlade so zákonom č. 251/2012 Z. z. o energetike a o zmene </w:t>
      </w:r>
      <w:r w:rsidR="001E7FC9">
        <w:t>a doplnení niektorých zákonov v</w:t>
      </w:r>
      <w:r w:rsidRPr="00D62FCE">
        <w:t xml:space="preserve"> znení neskorších predpisov.</w:t>
      </w:r>
    </w:p>
    <w:p w:rsidR="001254C6" w:rsidRDefault="001254C6" w:rsidP="001254C6">
      <w:pPr>
        <w:pStyle w:val="Podkapitoly"/>
        <w:numPr>
          <w:ilvl w:val="0"/>
          <w:numId w:val="0"/>
        </w:numPr>
        <w:ind w:left="851"/>
        <w:jc w:val="both"/>
      </w:pPr>
    </w:p>
    <w:p w:rsidR="00170EB6" w:rsidRDefault="00D62FCE" w:rsidP="00170EB6">
      <w:pPr>
        <w:pStyle w:val="Podkapitoly"/>
        <w:jc w:val="both"/>
      </w:pPr>
      <w:r w:rsidRPr="00170EB6">
        <w:t>V prípade nedodržania termínu splatnosti faktúry je Dodávateľ oprávnený vyúčtovať Odberat</w:t>
      </w:r>
      <w:r w:rsidR="001E7FC9">
        <w:t xml:space="preserve">eľovi </w:t>
      </w:r>
      <w:r w:rsidR="00C97FB3">
        <w:t>úrok z omeškania vo výške 0,025</w:t>
      </w:r>
      <w:r w:rsidR="0088026B">
        <w:t xml:space="preserve"> </w:t>
      </w:r>
      <w:r w:rsidRPr="00170EB6">
        <w:t xml:space="preserve">% z dlžnej čiastky za každý deň omeškania. </w:t>
      </w:r>
    </w:p>
    <w:p w:rsidR="00170EB6" w:rsidRDefault="00D62FCE" w:rsidP="00170EB6">
      <w:pPr>
        <w:pStyle w:val="Podkapitoly"/>
        <w:jc w:val="both"/>
      </w:pPr>
      <w:r w:rsidRPr="00170EB6">
        <w:t xml:space="preserve">Úrok z omeškania je splatný do 14 dní </w:t>
      </w:r>
      <w:r w:rsidR="00C97FB3">
        <w:t>od doručenia</w:t>
      </w:r>
      <w:r w:rsidRPr="00170EB6">
        <w:t xml:space="preserve"> žiadosti na jeho úhradu Dodávateľom Odberateľovi. </w:t>
      </w:r>
    </w:p>
    <w:p w:rsidR="00170EB6" w:rsidRDefault="00D62FCE" w:rsidP="00170EB6">
      <w:pPr>
        <w:pStyle w:val="Podkapitoly"/>
        <w:jc w:val="both"/>
      </w:pPr>
      <w:r w:rsidRPr="00170EB6">
        <w:t>Dodávateľ je oprávnený obmedziť alebo prerušiť dodávku plynu v prípade, že Odberateľ porušil svoj záväzok uhradiť akúkoľvek splatnú platbu vyplývajúcu z tejto Zmluvy a toto porušenie trvá aj po uplynutí primeranej dodatočnej lehoty, ktorú Dodávateľ Odberateľovi určil v písomnej výzve na splnenie zmluvnej povinnosti uhradiť dlžnú sumu.</w:t>
      </w:r>
    </w:p>
    <w:p w:rsidR="00170EB6" w:rsidRDefault="00D62FCE" w:rsidP="00170EB6">
      <w:pPr>
        <w:pStyle w:val="Podkapitoly"/>
        <w:jc w:val="both"/>
      </w:pPr>
      <w:r w:rsidRPr="00170EB6">
        <w:t>Nedod</w:t>
      </w:r>
      <w:r w:rsidR="0088026B">
        <w:t>anie dohodnutého množstva plynu</w:t>
      </w:r>
      <w:r w:rsidRPr="00170EB6">
        <w:t xml:space="preserve"> alebo nedodanie plynu v dohodnutej kvalite sa považuje za podstatné porušenie tejto Zmluvy zo strany Dodávateľa, pokiaľ </w:t>
      </w:r>
      <w:r w:rsidR="004E2842">
        <w:t xml:space="preserve">za to </w:t>
      </w:r>
      <w:r w:rsidRPr="00170EB6">
        <w:t>nezodpovedá prevádzkovateľ PDS a PPS.</w:t>
      </w:r>
    </w:p>
    <w:p w:rsidR="00170EB6" w:rsidRDefault="00D62FCE" w:rsidP="00170EB6">
      <w:pPr>
        <w:pStyle w:val="Podkapitoly"/>
        <w:jc w:val="both"/>
      </w:pPr>
      <w:r w:rsidRPr="00170EB6">
        <w:t xml:space="preserve">Počas zmluvného obdobia je Odberateľ povinný odobrať minimálne množstvo plynu vo výške AMQ podľa článku III. tejto Zmluvy. Ak Odberateľ odoberie množstvo plynu menšie ako minimálne množstvo AMQ za všetky OM uvedené v tejto Zmluve, tak je Dodávateľ oprávnený vyúčtovať Odberateľovi zmluvnú platbu vo výške 30 % z ceny podľa Prílohy č. 2, odsek 2., bod 2.1. tejto Zmluvy za množstvo plynu PAQ stanovené spôsobom uvedeným v článku IV bodu 4.13 tejto Zmluvy. </w:t>
      </w:r>
    </w:p>
    <w:p w:rsidR="00170EB6" w:rsidRDefault="00D62FCE" w:rsidP="00170EB6">
      <w:pPr>
        <w:pStyle w:val="Podkapitoly"/>
        <w:jc w:val="both"/>
      </w:pPr>
      <w:r w:rsidRPr="00170EB6">
        <w:t>Ak Odberateľ zmení počas platnosti tejto Zmluvy Dodávateľa na dodávku plynu a z toho dôvodu odstúpi od Zmluvy, Odberateľ je povinný uhradiť Dodávateľovi cenu za dodávku plynu podľa Prílohy č.</w:t>
      </w:r>
      <w:r w:rsidR="001E7FC9">
        <w:t xml:space="preserve"> </w:t>
      </w:r>
      <w:r w:rsidR="0088026B">
        <w:t>2 do výšky ACQ</w:t>
      </w:r>
      <w:r w:rsidRPr="00170EB6">
        <w:t xml:space="preserve"> s výnimkou, ak by k odstúpeniu od Zmluvy prišlo z dôvodu podstatného porušenia zmluvy zo strany Dodávateľa.</w:t>
      </w:r>
    </w:p>
    <w:p w:rsidR="00170EB6" w:rsidRDefault="00D62FCE" w:rsidP="00170EB6">
      <w:pPr>
        <w:pStyle w:val="Podkapitoly"/>
        <w:jc w:val="both"/>
      </w:pPr>
      <w:r w:rsidRPr="00170EB6">
        <w:t>Ak Odberateľ v ktoromkoľvek dni na ktoromkoľvek OM</w:t>
      </w:r>
      <w:r w:rsidR="001E7FC9">
        <w:t xml:space="preserve"> odoberie množstvo plynu, ktoré</w:t>
      </w:r>
      <w:r w:rsidRPr="00170EB6">
        <w:t xml:space="preserve"> presahuje DCQ uvedené pre príslušné OM v Zmluve, je po</w:t>
      </w:r>
      <w:r w:rsidR="001E7FC9">
        <w:t xml:space="preserve">vinný zaplatiť Dodávateľovi za </w:t>
      </w:r>
      <w:r w:rsidRPr="00170EB6">
        <w:t>počet prekročení DCQ v danom mesiaci a za objem prekročenia na výstupnom bode nad príslušný limit sadzbu podľa platného Rozhodnutia pre SPP</w:t>
      </w:r>
      <w:r w:rsidR="008E4BAF">
        <w:t xml:space="preserve"> </w:t>
      </w:r>
      <w:r w:rsidRPr="00170EB6">
        <w:t>-</w:t>
      </w:r>
      <w:r w:rsidR="008E4BAF">
        <w:t xml:space="preserve"> </w:t>
      </w:r>
      <w:r w:rsidRPr="00170EB6">
        <w:t>distribúc</w:t>
      </w:r>
      <w:r w:rsidR="0088026B">
        <w:t xml:space="preserve">iu a.s., ktorá zodpovedá sadzbe, </w:t>
      </w:r>
      <w:r w:rsidRPr="00170EB6">
        <w:t>akú by mal, keby mal pre toto obdobie uzavretú samostatnú zmluvu o distribúcií plynu do príslušného OM.</w:t>
      </w:r>
    </w:p>
    <w:p w:rsidR="00D62FCE" w:rsidRDefault="00D62FCE" w:rsidP="00B96530">
      <w:pPr>
        <w:pStyle w:val="Podkapitoly"/>
        <w:spacing w:line="276" w:lineRule="auto"/>
        <w:jc w:val="both"/>
      </w:pPr>
      <w:r w:rsidRPr="00170EB6">
        <w:t>Ak počas daného mesiaca v ktoromkoľvek dni Odberateľ odobral množstvo plynu presahujúce DCQ uvedené v Zmlu</w:t>
      </w:r>
      <w:r w:rsidR="0088026B">
        <w:t>ve na jednom alebo viacerých OM</w:t>
      </w:r>
      <w:r w:rsidRPr="00170EB6">
        <w:t xml:space="preserve"> a súčasne v tomto dni došlo voči Dodávateľovi k uplatneniu poplatku za prekročenie dennej kapacity na vstupnom bode v zmysle platného Rozhodnutia pre SPP</w:t>
      </w:r>
      <w:r w:rsidR="008E4BAF">
        <w:t xml:space="preserve"> </w:t>
      </w:r>
      <w:r w:rsidRPr="00170EB6">
        <w:t>-</w:t>
      </w:r>
      <w:r w:rsidR="008E4BAF">
        <w:t xml:space="preserve"> </w:t>
      </w:r>
      <w:r w:rsidRPr="00170EB6">
        <w:t>distribúciu a.s., Odberateľ popri poplatku v predchádzajúcom odseku tohto článku zaplatí za objem prekročenia DCQ nad limit na každom príslušnom OM aj poplatok za prekročenie dennej distribučnej kapacity na vstupnom bode v zmysle platného Rozhodnutia pre SPP</w:t>
      </w:r>
      <w:r w:rsidR="008E4BAF">
        <w:t xml:space="preserve"> </w:t>
      </w:r>
      <w:r w:rsidRPr="00170EB6">
        <w:t>-</w:t>
      </w:r>
      <w:r w:rsidR="008E4BAF">
        <w:t xml:space="preserve"> </w:t>
      </w:r>
      <w:r w:rsidRPr="00170EB6">
        <w:t xml:space="preserve">distribúcia a.s., ktorý by bol povinný zaplatiť, keby mal pre toto obdobie uzavretú samostatnú zmluvu o distribúcii plynu do príslušného OM. </w:t>
      </w:r>
    </w:p>
    <w:p w:rsidR="00170EB6" w:rsidRDefault="00170EB6" w:rsidP="00B96530">
      <w:pPr>
        <w:pStyle w:val="lnky"/>
        <w:spacing w:before="240"/>
      </w:pPr>
    </w:p>
    <w:p w:rsidR="002905B7" w:rsidRPr="00B23688" w:rsidRDefault="00D62FCE" w:rsidP="00B23688">
      <w:pPr>
        <w:pStyle w:val="lnky"/>
        <w:numPr>
          <w:ilvl w:val="0"/>
          <w:numId w:val="0"/>
        </w:numPr>
        <w:spacing w:after="240"/>
        <w:rPr>
          <w:b/>
          <w:sz w:val="22"/>
        </w:rPr>
      </w:pPr>
      <w:r w:rsidRPr="00170EB6">
        <w:rPr>
          <w:b/>
          <w:sz w:val="22"/>
        </w:rPr>
        <w:t>Reklamácie</w:t>
      </w:r>
    </w:p>
    <w:p w:rsidR="00170EB6" w:rsidRDefault="00D62FCE" w:rsidP="002905B7">
      <w:pPr>
        <w:pStyle w:val="Podkapitoly"/>
        <w:jc w:val="both"/>
      </w:pPr>
      <w:r w:rsidRPr="00D62FCE">
        <w:t xml:space="preserve">Ak niektorá zo zmluvných strán zistí omyl alebo chybu pri vyúčtovaní platieb podľa tejto Zmluvy, ktoré vznikli nesprávnym odpočtom, vadou meracieho zariadenia, použitím nesprávnej sadzby, výpočtom alebo preklepom a pod., majú strany nárok na vzájomné vyrovnanie. Ak Odberateľ zistí niektorý z vyššie uvedených nedostatkov, predloží Dodávateľovi písomnú výzvu na jeho odstránenie (reklamácia). </w:t>
      </w:r>
    </w:p>
    <w:p w:rsidR="00170EB6" w:rsidRDefault="00D62FCE" w:rsidP="00170EB6">
      <w:pPr>
        <w:pStyle w:val="Podkapitoly"/>
        <w:jc w:val="both"/>
      </w:pPr>
      <w:r w:rsidRPr="00170EB6">
        <w:t>Pri uplatnení reklamácie budú zmluvné strany postupovať v súlade s VOP.</w:t>
      </w:r>
    </w:p>
    <w:p w:rsidR="00D62FCE" w:rsidRDefault="00D62FCE" w:rsidP="00B96530">
      <w:pPr>
        <w:pStyle w:val="Podkapitoly"/>
        <w:spacing w:line="276" w:lineRule="auto"/>
        <w:jc w:val="both"/>
      </w:pPr>
      <w:r w:rsidRPr="00170EB6">
        <w:t>Uplatnená reklamácia nemá odkladný účinok na splatnosť vyúčtovacej faktúry.</w:t>
      </w:r>
    </w:p>
    <w:p w:rsidR="005C72DD" w:rsidRDefault="005C72DD" w:rsidP="005C72DD">
      <w:pPr>
        <w:pStyle w:val="Podkapitoly"/>
        <w:numPr>
          <w:ilvl w:val="0"/>
          <w:numId w:val="0"/>
        </w:numPr>
        <w:spacing w:line="276" w:lineRule="auto"/>
        <w:ind w:left="851"/>
        <w:jc w:val="both"/>
      </w:pPr>
    </w:p>
    <w:p w:rsidR="00170EB6" w:rsidRDefault="00170EB6" w:rsidP="00B96530">
      <w:pPr>
        <w:pStyle w:val="lnky"/>
        <w:spacing w:before="240"/>
      </w:pPr>
    </w:p>
    <w:p w:rsidR="002905B7" w:rsidRPr="00B23688" w:rsidRDefault="00D62FCE" w:rsidP="00B23688">
      <w:pPr>
        <w:pStyle w:val="lnky"/>
        <w:numPr>
          <w:ilvl w:val="0"/>
          <w:numId w:val="0"/>
        </w:numPr>
        <w:spacing w:after="240"/>
        <w:rPr>
          <w:b/>
          <w:sz w:val="22"/>
        </w:rPr>
      </w:pPr>
      <w:r w:rsidRPr="00170EB6">
        <w:rPr>
          <w:b/>
          <w:sz w:val="22"/>
        </w:rPr>
        <w:t>Vyššia moc</w:t>
      </w:r>
    </w:p>
    <w:p w:rsidR="00170EB6" w:rsidRDefault="00D62FCE" w:rsidP="002905B7">
      <w:pPr>
        <w:pStyle w:val="Podkapitoly"/>
        <w:jc w:val="both"/>
      </w:pPr>
      <w:r w:rsidRPr="00D62FCE">
        <w:t>Nepovažuje sa za porušenie tejto Zmluvy, ak ktorákoľvek zo zmluvných strán nemôže plniť svoje zmluvné povinnosti z dôvodu prekážky, ktorá nastala nezávisle od vôle povinnej zmluvnej strany a bráni jej v plnení jej povinností, ak nemožno rozumne predpokladať, že by povinná zmluvná strana túto prekážku alebo jej následky odvrátila alebo prekonala, a že by v čase záväzku túto prekážku predvídala, pričo</w:t>
      </w:r>
      <w:r w:rsidR="001E7FC9">
        <w:t xml:space="preserve">m takáto prekážka priamo bráni </w:t>
      </w:r>
      <w:r w:rsidRPr="00D62FCE">
        <w:t>splneniu zmluvnej povinností zmluvnej strany, ktorá sa jej vzniku dovoláva. Za okolnosti vylučujúce zodpovednosť/vyššiu moc sa v zmysle tejto Zmluvy považujú prekážky, ktoré nastali nezávisle od vôle povinnej zmluvnej strany (napr. prírodné vplyvy, záplavy, zemetrasenia, zosúvanie pôdy, vojna alebo situácie podobné vojne, požiar, explózie, teroristické útoky a iné) a bránia v splnení jej povinností, ak nemožno rozumne predpokladať, že by povinná zmluvná strana túto prekážku alebo jej nás</w:t>
      </w:r>
      <w:r w:rsidR="0088026B">
        <w:t>ledky odvrátila alebo prekonala,</w:t>
      </w:r>
      <w:r w:rsidRPr="00D62FCE">
        <w:t xml:space="preserve"> a ďalej, že by v čase vzniku záväzku túto prekážku predvídala.</w:t>
      </w:r>
    </w:p>
    <w:p w:rsidR="00170EB6" w:rsidRDefault="00D62FCE" w:rsidP="00170EB6">
      <w:pPr>
        <w:pStyle w:val="Podkapitoly"/>
        <w:jc w:val="both"/>
      </w:pPr>
      <w:r w:rsidRPr="00170EB6">
        <w:t>Za vyššiu moc sa nepovažujú okolnosti, ktoré vznikli v čase, kedy zmluvná strana už bola v omeškaní s plnením svojich záväzkov, alebo ktoré vznikli z titulu jej hospodárskej situácie.</w:t>
      </w:r>
    </w:p>
    <w:p w:rsidR="00170EB6" w:rsidRDefault="00D62FCE" w:rsidP="00170EB6">
      <w:pPr>
        <w:pStyle w:val="Podkapitoly"/>
        <w:jc w:val="both"/>
      </w:pPr>
      <w:r w:rsidRPr="00170EB6">
        <w:t>Zmluvná strana dotknutá okolnosťami vyl</w:t>
      </w:r>
      <w:r w:rsidR="0088026B">
        <w:t>učujúcimi jej zodpovednosť/vyššou mocou</w:t>
      </w:r>
      <w:r w:rsidRPr="00170EB6">
        <w:t xml:space="preserve"> bez zbytočného odkladu písomne oznámi druhej zmluvnej strane detailne všetky podrobnosti vyššej moci spolu s odhadovaným rozsahom a dobou trvania nemožnosti plniť si svoje záväzky spolu s prehlásením o vykonaných opatreniach nevyhnutne potrebných na zmiernenie alebo odstránenie účinkov a následkov vyvolaných vyššou mocou. Škody vyplývajúce z oneskoreného oznámenia vzniku vyššej moci bude niesť zmluvná strana zodpovedná za takéto oneskorené oznámenie.</w:t>
      </w:r>
    </w:p>
    <w:p w:rsidR="00D62FCE" w:rsidRDefault="00D62FCE" w:rsidP="00B96530">
      <w:pPr>
        <w:pStyle w:val="Podkapitoly"/>
        <w:spacing w:line="276" w:lineRule="auto"/>
        <w:jc w:val="both"/>
      </w:pPr>
      <w:r w:rsidRPr="00170EB6">
        <w:t>Ak doba trvania okolností vylučujúcich zodpovednosť/vyššej moci presahuje 45 kalendárnych dní, zmluvné strany sú povinné viesť rokovania o možnej zmene/úprave tejto Zmluvy. Ak takéto rokovania nebudú úspešne ukončené do 45 dní od ich začatia, ktorákoľvek zo zmluvných strán, je oprávnená písomne odstúpiť od tejto Zmluvy. Zmluvné strany sa zaväzujú bez zbytočného odkladu vyrovnať si vzájomné pohľadávky a záväzky, ktoré vznikli do zániku tejto Zmluvy.</w:t>
      </w:r>
    </w:p>
    <w:p w:rsidR="001254C6" w:rsidRPr="00B96530" w:rsidRDefault="001254C6" w:rsidP="001254C6">
      <w:pPr>
        <w:pStyle w:val="Podkapitoly"/>
        <w:numPr>
          <w:ilvl w:val="0"/>
          <w:numId w:val="0"/>
        </w:numPr>
        <w:spacing w:line="276" w:lineRule="auto"/>
        <w:ind w:left="851"/>
        <w:jc w:val="both"/>
      </w:pPr>
    </w:p>
    <w:p w:rsidR="00170EB6" w:rsidRDefault="00170EB6" w:rsidP="00B96530">
      <w:pPr>
        <w:pStyle w:val="lnky"/>
        <w:spacing w:before="240"/>
      </w:pPr>
    </w:p>
    <w:p w:rsidR="002905B7" w:rsidRPr="00B23688" w:rsidRDefault="00D62FCE" w:rsidP="00B23688">
      <w:pPr>
        <w:pStyle w:val="lnky"/>
        <w:numPr>
          <w:ilvl w:val="0"/>
          <w:numId w:val="0"/>
        </w:numPr>
        <w:spacing w:after="240"/>
        <w:rPr>
          <w:b/>
          <w:sz w:val="22"/>
        </w:rPr>
      </w:pPr>
      <w:r w:rsidRPr="00170EB6">
        <w:rPr>
          <w:b/>
          <w:sz w:val="22"/>
        </w:rPr>
        <w:t>Z</w:t>
      </w:r>
      <w:r w:rsidR="001E7FC9">
        <w:rPr>
          <w:b/>
          <w:sz w:val="22"/>
        </w:rPr>
        <w:t xml:space="preserve">áväzok mlčanlivosti, kontaktné </w:t>
      </w:r>
      <w:r w:rsidRPr="00170EB6">
        <w:rPr>
          <w:b/>
          <w:sz w:val="22"/>
        </w:rPr>
        <w:t>osoby</w:t>
      </w:r>
    </w:p>
    <w:p w:rsidR="00170EB6" w:rsidRDefault="00D62FCE" w:rsidP="002905B7">
      <w:pPr>
        <w:pStyle w:val="Podkapitoly"/>
        <w:jc w:val="both"/>
      </w:pPr>
      <w:r w:rsidRPr="00D62FCE">
        <w:t>Zmluvné strany súhlasia, že všetky informácie a skutočnosti, ktoré získali, alebo o ktorých sa dozvedeli akýmkoľvek spôsobom pri uzavretí alebo plnení tejto Zmluvy alebo v súvislosti s ňou, sa považujú za dôverné a majú charakter obchodného tajomstva (ďalej aj „dôverné informácie“). Zmluvné strany sa zaväzujú zachovávať mlčanlivosť o dôverných informáciách, dôverné informácie používať výlučne na účely plnenia tejto Zmluvy, neposkytnúť a nesprístupniť dôverné informácie žiadnym tretím osobám a prijať všetky potrebné kroky na ochranu a zabezpečenie dôverných informácií pred ich zverejnením alebo poskytnutím tretej osobe.</w:t>
      </w:r>
    </w:p>
    <w:p w:rsidR="00170EB6" w:rsidRDefault="00D62FCE" w:rsidP="00170EB6">
      <w:pPr>
        <w:pStyle w:val="Podkapitoly"/>
        <w:jc w:val="both"/>
      </w:pPr>
      <w:r w:rsidRPr="00170EB6">
        <w:t xml:space="preserve">Ustanovenie podľa odseku 11.1. tohto článku sa nebude vzťahovať na poskytnutie informácií </w:t>
      </w:r>
      <w:r w:rsidR="004E2842">
        <w:t xml:space="preserve">Odberateľom alebo </w:t>
      </w:r>
      <w:r w:rsidRPr="00170EB6">
        <w:t xml:space="preserve">Dodávateľom materskej spoločnosti, jej vlastníkom a tretím stranám, ktoré poskytujú audítorské, daňové, účtovnícke a právne služby </w:t>
      </w:r>
      <w:r w:rsidR="004E2842">
        <w:t xml:space="preserve">Odberateľa alebo </w:t>
      </w:r>
      <w:r w:rsidRPr="00170EB6">
        <w:t>Dodávateľa na základe zmluvy.</w:t>
      </w:r>
    </w:p>
    <w:p w:rsidR="00170EB6" w:rsidRDefault="00D62FCE" w:rsidP="00170EB6">
      <w:pPr>
        <w:pStyle w:val="Podkapitoly"/>
        <w:jc w:val="both"/>
      </w:pPr>
      <w:r w:rsidRPr="00170EB6">
        <w:t>Povinnosť nezverejňovania sa nevzťahuje na informácie a skutočnosti, ktoré:</w:t>
      </w:r>
    </w:p>
    <w:p w:rsidR="0045026E" w:rsidRDefault="00D62FCE" w:rsidP="0024796F">
      <w:pPr>
        <w:pStyle w:val="odrka"/>
        <w:numPr>
          <w:ilvl w:val="0"/>
          <w:numId w:val="15"/>
        </w:numPr>
        <w:ind w:left="993" w:hanging="426"/>
      </w:pPr>
      <w:r w:rsidRPr="00170EB6">
        <w:t>sú verejne prístupné, alebo ktoré sa bez zavinenia zmluvnej strany, ktorá tieto informácie získala stanú verejne prístupnými, alebo</w:t>
      </w:r>
    </w:p>
    <w:p w:rsidR="0045026E" w:rsidRDefault="00D62FCE" w:rsidP="0024796F">
      <w:pPr>
        <w:pStyle w:val="odrka"/>
        <w:numPr>
          <w:ilvl w:val="0"/>
          <w:numId w:val="15"/>
        </w:numPr>
        <w:ind w:left="993" w:hanging="426"/>
      </w:pPr>
      <w:r w:rsidRPr="00170EB6">
        <w:t>boli druhej zmluvnej strane preukázateľne známe pred nadobudnutím platnosti tejto Zmluvy a nepodliehajú záväzku mlčanlivosti, alebo</w:t>
      </w:r>
    </w:p>
    <w:p w:rsidR="0045026E" w:rsidRDefault="00D62FCE" w:rsidP="0024796F">
      <w:pPr>
        <w:pStyle w:val="odrka"/>
        <w:numPr>
          <w:ilvl w:val="0"/>
          <w:numId w:val="15"/>
        </w:numPr>
        <w:ind w:left="993" w:hanging="426"/>
      </w:pPr>
      <w:r w:rsidRPr="00170EB6">
        <w:t>zmluvná strana tieto získala od tretej strany, ktorá nie je viazaná povinnosťou mlčanlivosti voči zmluvnej strane, ktorej sa takéto informácie týkajú, alebo</w:t>
      </w:r>
    </w:p>
    <w:p w:rsidR="00D62FCE" w:rsidRPr="00170EB6" w:rsidRDefault="00D62FCE" w:rsidP="0024796F">
      <w:pPr>
        <w:pStyle w:val="odrka"/>
        <w:numPr>
          <w:ilvl w:val="0"/>
          <w:numId w:val="15"/>
        </w:numPr>
        <w:ind w:left="993" w:hanging="426"/>
      </w:pPr>
      <w:r w:rsidRPr="00170EB6">
        <w:t>sa majú sprístupniť a poskytnúť v zmysle všeobecne záväzných právnych predpisov, nariadení burzy cenných papierov alebo vyžiadania oprávnených orgánov verejnej moci v rozsahu určenom platnými všeobecne záväznými právnymi predpismi alebo pri uplatňovaní práva z tejto Zmluvy súdnou cestou.</w:t>
      </w:r>
    </w:p>
    <w:p w:rsidR="00170EB6" w:rsidRDefault="00D62FCE" w:rsidP="00170EB6">
      <w:pPr>
        <w:pStyle w:val="Podkapitoly"/>
        <w:jc w:val="both"/>
      </w:pPr>
      <w:r w:rsidRPr="00D62FCE">
        <w:t>Povinnosť zachovávať mlčanlivosť môže zmluvnú stranu zbaviť jedine súd alebo štatutárny orgán druhej zmluvnej strany formou predchádzajúceho písomného súhlasu.</w:t>
      </w:r>
    </w:p>
    <w:p w:rsidR="00170EB6" w:rsidRDefault="00D62FCE" w:rsidP="00170EB6">
      <w:pPr>
        <w:pStyle w:val="Podkapitoly"/>
        <w:jc w:val="both"/>
      </w:pPr>
      <w:r w:rsidRPr="00170EB6">
        <w:t xml:space="preserve">Ukončenie platnosti a účinnosti tejto Zmluvy z akýchkoľvek dôvodov nemá vplyv na povinnosť zachovávať mlčanlivosť podľa tohto článku Zmluvy. </w:t>
      </w:r>
    </w:p>
    <w:p w:rsidR="00D20DEF" w:rsidRDefault="00D62FCE" w:rsidP="00D20DEF">
      <w:pPr>
        <w:pStyle w:val="Podkapitoly"/>
        <w:jc w:val="both"/>
      </w:pPr>
      <w:r w:rsidRPr="00170EB6">
        <w:t>Zmluvné strany sa dohodli, že všetky informácie, žiadosti a akúkoľvek komunikáciu spojenú s touto Zmluvou vo veciach zmluvných, obchodných, technických a dispečerských budú zasielať a oznamovať na nasledo</w:t>
      </w:r>
      <w:r w:rsidR="001E7FC9">
        <w:t>vné oprávnené kontaktné osoby:</w:t>
      </w:r>
    </w:p>
    <w:p w:rsidR="00F61705" w:rsidRDefault="00F61705" w:rsidP="00F61705">
      <w:pPr>
        <w:pStyle w:val="Podkapitoly"/>
        <w:numPr>
          <w:ilvl w:val="0"/>
          <w:numId w:val="0"/>
        </w:numPr>
        <w:ind w:left="851"/>
        <w:jc w:val="both"/>
      </w:pPr>
    </w:p>
    <w:p w:rsidR="00D20DEF" w:rsidRDefault="008E4BAF" w:rsidP="00D20DEF">
      <w:pPr>
        <w:pStyle w:val="Podkapitoly"/>
        <w:numPr>
          <w:ilvl w:val="0"/>
          <w:numId w:val="0"/>
        </w:numPr>
        <w:spacing w:after="0"/>
        <w:ind w:left="851"/>
        <w:jc w:val="both"/>
        <w:rPr>
          <w:u w:val="single"/>
        </w:rPr>
      </w:pPr>
      <w:r w:rsidRPr="00D20DEF">
        <w:rPr>
          <w:u w:val="single"/>
        </w:rPr>
        <w:t>Osoby oprávnené rokovať vo veciach obchodných a zmluvných:</w:t>
      </w:r>
    </w:p>
    <w:p w:rsidR="001254C6" w:rsidRDefault="001254C6" w:rsidP="00D20DEF">
      <w:pPr>
        <w:pStyle w:val="Podkapitoly"/>
        <w:numPr>
          <w:ilvl w:val="0"/>
          <w:numId w:val="0"/>
        </w:numPr>
        <w:spacing w:after="0"/>
        <w:ind w:left="851"/>
        <w:jc w:val="both"/>
        <w:rPr>
          <w:u w:val="single"/>
        </w:rPr>
      </w:pPr>
    </w:p>
    <w:p w:rsidR="00D20DEF" w:rsidRDefault="008E4BAF" w:rsidP="00D20DEF">
      <w:pPr>
        <w:pStyle w:val="Podkapitoly"/>
        <w:numPr>
          <w:ilvl w:val="0"/>
          <w:numId w:val="0"/>
        </w:numPr>
        <w:spacing w:after="0"/>
        <w:ind w:left="851"/>
        <w:jc w:val="both"/>
      </w:pPr>
      <w:r w:rsidRPr="00C91C76">
        <w:t xml:space="preserve">Za </w:t>
      </w:r>
      <w:r>
        <w:t>Dodávateľa</w:t>
      </w:r>
      <w:r w:rsidRPr="00C91C76">
        <w:t xml:space="preserve">: </w:t>
      </w:r>
    </w:p>
    <w:p w:rsidR="00D20DEF" w:rsidRDefault="008E4BAF" w:rsidP="00D20DEF">
      <w:pPr>
        <w:pStyle w:val="Podkapitoly"/>
        <w:numPr>
          <w:ilvl w:val="0"/>
          <w:numId w:val="0"/>
        </w:numPr>
        <w:tabs>
          <w:tab w:val="left" w:pos="5103"/>
        </w:tabs>
        <w:spacing w:after="0"/>
        <w:ind w:left="851"/>
        <w:jc w:val="both"/>
      </w:pPr>
      <w:r w:rsidRPr="00C91C76">
        <w:t>Ing. Štefan Koman</w:t>
      </w:r>
      <w:r w:rsidRPr="00B64D03">
        <w:t xml:space="preserve"> </w:t>
      </w:r>
      <w:r>
        <w:tab/>
      </w:r>
      <w:r w:rsidRPr="00C91C76">
        <w:t xml:space="preserve">Ing. </w:t>
      </w:r>
      <w:r>
        <w:t>Jaroslav Škrabák</w:t>
      </w:r>
    </w:p>
    <w:p w:rsidR="00D20DEF" w:rsidRDefault="004F5910" w:rsidP="00D20DEF">
      <w:pPr>
        <w:pStyle w:val="Podkapitoly"/>
        <w:numPr>
          <w:ilvl w:val="0"/>
          <w:numId w:val="0"/>
        </w:numPr>
        <w:tabs>
          <w:tab w:val="left" w:pos="5103"/>
        </w:tabs>
        <w:spacing w:after="0"/>
        <w:ind w:left="851"/>
        <w:jc w:val="both"/>
      </w:pPr>
      <w:r>
        <w:tab/>
        <w:t>tel:</w:t>
      </w:r>
    </w:p>
    <w:p w:rsidR="00D20DEF" w:rsidRDefault="008E4BAF" w:rsidP="00D20DEF">
      <w:pPr>
        <w:pStyle w:val="Podkapitoly"/>
        <w:numPr>
          <w:ilvl w:val="0"/>
          <w:numId w:val="0"/>
        </w:numPr>
        <w:tabs>
          <w:tab w:val="left" w:pos="5103"/>
        </w:tabs>
        <w:spacing w:after="0"/>
        <w:ind w:left="851"/>
        <w:jc w:val="both"/>
      </w:pPr>
      <w:r>
        <w:tab/>
      </w:r>
      <w:r w:rsidRPr="00C91C76">
        <w:t>fax:</w:t>
      </w:r>
    </w:p>
    <w:p w:rsidR="00D20DEF" w:rsidRDefault="008E4BAF" w:rsidP="004F5910">
      <w:pPr>
        <w:pStyle w:val="Podkapitoly"/>
        <w:numPr>
          <w:ilvl w:val="0"/>
          <w:numId w:val="0"/>
        </w:numPr>
        <w:tabs>
          <w:tab w:val="left" w:pos="5103"/>
        </w:tabs>
        <w:spacing w:after="0"/>
        <w:ind w:left="851" w:hanging="567"/>
        <w:jc w:val="both"/>
      </w:pPr>
      <w:r>
        <w:tab/>
      </w:r>
      <w:r w:rsidRPr="00C91C76">
        <w:t>mob:</w:t>
      </w:r>
      <w:r>
        <w:t xml:space="preserve"> </w:t>
      </w:r>
    </w:p>
    <w:p w:rsidR="00D20DEF" w:rsidRDefault="004F5910" w:rsidP="00D20DEF">
      <w:pPr>
        <w:pStyle w:val="Podkapitoly"/>
        <w:numPr>
          <w:ilvl w:val="0"/>
          <w:numId w:val="0"/>
        </w:numPr>
        <w:tabs>
          <w:tab w:val="left" w:pos="5103"/>
        </w:tabs>
        <w:spacing w:after="0"/>
        <w:ind w:left="851"/>
        <w:jc w:val="both"/>
      </w:pPr>
      <w:r>
        <w:t>e-m</w:t>
      </w:r>
      <w:r w:rsidR="008E4BAF">
        <w:tab/>
      </w:r>
      <w:r w:rsidR="008E4BAF" w:rsidRPr="00C91C76">
        <w:t xml:space="preserve">e-mail: </w:t>
      </w:r>
    </w:p>
    <w:p w:rsidR="00D20DEF" w:rsidRDefault="00D20DEF" w:rsidP="00D20DEF">
      <w:pPr>
        <w:pStyle w:val="Podkapitoly"/>
        <w:numPr>
          <w:ilvl w:val="0"/>
          <w:numId w:val="0"/>
        </w:numPr>
        <w:tabs>
          <w:tab w:val="left" w:pos="5103"/>
        </w:tabs>
        <w:spacing w:after="0"/>
        <w:ind w:left="851"/>
        <w:jc w:val="both"/>
      </w:pPr>
    </w:p>
    <w:p w:rsidR="00D20DEF" w:rsidRDefault="008E4BAF" w:rsidP="00D20DEF">
      <w:pPr>
        <w:pStyle w:val="Podkapitoly"/>
        <w:numPr>
          <w:ilvl w:val="0"/>
          <w:numId w:val="0"/>
        </w:numPr>
        <w:tabs>
          <w:tab w:val="left" w:pos="5103"/>
        </w:tabs>
        <w:spacing w:after="0"/>
        <w:ind w:left="851"/>
        <w:jc w:val="both"/>
      </w:pPr>
      <w:r w:rsidRPr="00C91C76">
        <w:t xml:space="preserve">Za </w:t>
      </w:r>
      <w:r>
        <w:t>Odberateľa</w:t>
      </w:r>
      <w:r w:rsidRPr="00C91C76">
        <w:t xml:space="preserve">: </w:t>
      </w:r>
    </w:p>
    <w:p w:rsidR="005C72DD" w:rsidRDefault="005C72DD" w:rsidP="00D20DEF">
      <w:pPr>
        <w:pStyle w:val="Podkapitoly"/>
        <w:numPr>
          <w:ilvl w:val="0"/>
          <w:numId w:val="0"/>
        </w:numPr>
        <w:tabs>
          <w:tab w:val="left" w:pos="5103"/>
        </w:tabs>
        <w:spacing w:after="0"/>
        <w:ind w:left="851"/>
        <w:jc w:val="both"/>
      </w:pPr>
      <w:r w:rsidRPr="005C72DD">
        <w:t xml:space="preserve">Ing. Pavol Špaček </w:t>
      </w:r>
      <w:r w:rsidR="004E2842">
        <w:tab/>
      </w:r>
      <w:r w:rsidR="004E2842" w:rsidRPr="004E2842">
        <w:t>Róbert Müller</w:t>
      </w:r>
    </w:p>
    <w:p w:rsidR="00D20DEF" w:rsidRDefault="004F5910" w:rsidP="00D20DEF">
      <w:pPr>
        <w:pStyle w:val="Podkapitoly"/>
        <w:numPr>
          <w:ilvl w:val="0"/>
          <w:numId w:val="0"/>
        </w:numPr>
        <w:tabs>
          <w:tab w:val="left" w:pos="5103"/>
        </w:tabs>
        <w:spacing w:after="0"/>
        <w:ind w:left="851"/>
        <w:jc w:val="both"/>
      </w:pPr>
      <w:r>
        <w:t>tel:</w:t>
      </w:r>
      <w:r w:rsidR="004E2842">
        <w:tab/>
      </w:r>
      <w:r>
        <w:t xml:space="preserve">tel: </w:t>
      </w:r>
    </w:p>
    <w:p w:rsidR="00D20DEF" w:rsidRDefault="004F5910" w:rsidP="00D20DEF">
      <w:pPr>
        <w:pStyle w:val="Podkapitoly"/>
        <w:numPr>
          <w:ilvl w:val="0"/>
          <w:numId w:val="0"/>
        </w:numPr>
        <w:tabs>
          <w:tab w:val="left" w:pos="5103"/>
        </w:tabs>
        <w:spacing w:after="0"/>
        <w:ind w:left="851"/>
        <w:jc w:val="both"/>
      </w:pPr>
      <w:r>
        <w:t>fax:</w:t>
      </w:r>
      <w:r w:rsidR="004E2842">
        <w:tab/>
      </w:r>
      <w:r>
        <w:t>fax:</w:t>
      </w:r>
    </w:p>
    <w:p w:rsidR="00D20DEF" w:rsidRDefault="008E4BAF" w:rsidP="00D20DEF">
      <w:pPr>
        <w:pStyle w:val="Podkapitoly"/>
        <w:numPr>
          <w:ilvl w:val="0"/>
          <w:numId w:val="0"/>
        </w:numPr>
        <w:tabs>
          <w:tab w:val="left" w:pos="5103"/>
        </w:tabs>
        <w:spacing w:after="0"/>
        <w:ind w:left="851"/>
        <w:jc w:val="both"/>
      </w:pPr>
      <w:r w:rsidRPr="00C91C76">
        <w:t>mob:</w:t>
      </w:r>
      <w:r w:rsidR="004E2842">
        <w:tab/>
      </w:r>
      <w:r w:rsidR="004F5910">
        <w:t xml:space="preserve">mob: </w:t>
      </w:r>
    </w:p>
    <w:p w:rsidR="00D20DEF" w:rsidRDefault="008E4BAF" w:rsidP="00D20DEF">
      <w:pPr>
        <w:pStyle w:val="Podkapitoly"/>
        <w:numPr>
          <w:ilvl w:val="0"/>
          <w:numId w:val="0"/>
        </w:numPr>
        <w:tabs>
          <w:tab w:val="left" w:pos="5103"/>
        </w:tabs>
        <w:spacing w:after="0"/>
        <w:ind w:left="851"/>
        <w:jc w:val="both"/>
      </w:pPr>
      <w:r w:rsidRPr="00C91C76">
        <w:t xml:space="preserve">e-mail: </w:t>
      </w:r>
      <w:r w:rsidR="004E2842">
        <w:tab/>
      </w:r>
      <w:r w:rsidR="004E2842" w:rsidRPr="004E2842">
        <w:t>e-mail:</w:t>
      </w:r>
      <w:r w:rsidR="004E2842">
        <w:t xml:space="preserve"> </w:t>
      </w:r>
    </w:p>
    <w:p w:rsidR="004E2842" w:rsidRDefault="004E2842" w:rsidP="00D20DEF">
      <w:pPr>
        <w:pStyle w:val="Podkapitoly"/>
        <w:numPr>
          <w:ilvl w:val="0"/>
          <w:numId w:val="0"/>
        </w:numPr>
        <w:tabs>
          <w:tab w:val="left" w:pos="5103"/>
        </w:tabs>
        <w:spacing w:after="0"/>
        <w:ind w:left="851"/>
        <w:jc w:val="both"/>
      </w:pPr>
    </w:p>
    <w:p w:rsidR="004E2842" w:rsidRDefault="004E2842" w:rsidP="00D20DEF">
      <w:pPr>
        <w:pStyle w:val="Podkapitoly"/>
        <w:numPr>
          <w:ilvl w:val="0"/>
          <w:numId w:val="0"/>
        </w:numPr>
        <w:tabs>
          <w:tab w:val="left" w:pos="5103"/>
        </w:tabs>
        <w:spacing w:after="0"/>
        <w:ind w:left="851"/>
        <w:jc w:val="both"/>
      </w:pPr>
      <w:r w:rsidRPr="004E2842">
        <w:t>Branislav Šitina</w:t>
      </w:r>
    </w:p>
    <w:p w:rsidR="004E2842" w:rsidRPr="004E2842" w:rsidRDefault="004F5910" w:rsidP="004E2842">
      <w:pPr>
        <w:tabs>
          <w:tab w:val="left" w:pos="5103"/>
        </w:tabs>
        <w:spacing w:after="0" w:line="240" w:lineRule="auto"/>
        <w:ind w:left="851"/>
        <w:jc w:val="both"/>
        <w:outlineLvl w:val="1"/>
        <w:rPr>
          <w:rFonts w:ascii="Arial" w:eastAsiaTheme="majorEastAsia" w:hAnsi="Arial" w:cs="Arial"/>
          <w:bCs/>
          <w:sz w:val="20"/>
          <w:szCs w:val="20"/>
        </w:rPr>
      </w:pPr>
      <w:r>
        <w:rPr>
          <w:rFonts w:ascii="Arial" w:eastAsiaTheme="majorEastAsia" w:hAnsi="Arial" w:cs="Arial"/>
          <w:bCs/>
          <w:sz w:val="20"/>
          <w:szCs w:val="20"/>
        </w:rPr>
        <w:t xml:space="preserve">tel: </w:t>
      </w:r>
      <w:r w:rsidR="004E2842" w:rsidRPr="004E2842">
        <w:rPr>
          <w:rFonts w:ascii="Arial" w:eastAsiaTheme="majorEastAsia" w:hAnsi="Arial" w:cs="Arial"/>
          <w:bCs/>
          <w:sz w:val="20"/>
          <w:szCs w:val="20"/>
        </w:rPr>
        <w:tab/>
      </w:r>
    </w:p>
    <w:p w:rsidR="004E2842" w:rsidRPr="004E2842" w:rsidRDefault="004F5910" w:rsidP="004E2842">
      <w:pPr>
        <w:tabs>
          <w:tab w:val="left" w:pos="5103"/>
        </w:tabs>
        <w:spacing w:after="0" w:line="240" w:lineRule="auto"/>
        <w:ind w:left="851"/>
        <w:jc w:val="both"/>
        <w:outlineLvl w:val="1"/>
        <w:rPr>
          <w:rFonts w:ascii="Arial" w:eastAsiaTheme="majorEastAsia" w:hAnsi="Arial" w:cs="Arial"/>
          <w:bCs/>
          <w:sz w:val="20"/>
          <w:szCs w:val="20"/>
        </w:rPr>
      </w:pPr>
      <w:r>
        <w:rPr>
          <w:rFonts w:ascii="Arial" w:eastAsiaTheme="majorEastAsia" w:hAnsi="Arial" w:cs="Arial"/>
          <w:bCs/>
          <w:sz w:val="20"/>
          <w:szCs w:val="20"/>
        </w:rPr>
        <w:t xml:space="preserve">fax: </w:t>
      </w:r>
      <w:r w:rsidR="004E2842" w:rsidRPr="004E2842">
        <w:rPr>
          <w:rFonts w:ascii="Arial" w:eastAsiaTheme="majorEastAsia" w:hAnsi="Arial" w:cs="Arial"/>
          <w:bCs/>
          <w:sz w:val="20"/>
          <w:szCs w:val="20"/>
        </w:rPr>
        <w:tab/>
      </w:r>
    </w:p>
    <w:p w:rsidR="004E2842" w:rsidRPr="004E2842" w:rsidRDefault="004F5910" w:rsidP="004E2842">
      <w:pPr>
        <w:tabs>
          <w:tab w:val="left" w:pos="5103"/>
        </w:tabs>
        <w:spacing w:after="0" w:line="240" w:lineRule="auto"/>
        <w:ind w:left="851"/>
        <w:jc w:val="both"/>
        <w:outlineLvl w:val="1"/>
        <w:rPr>
          <w:rFonts w:ascii="Arial" w:eastAsiaTheme="majorEastAsia" w:hAnsi="Arial" w:cs="Arial"/>
          <w:bCs/>
          <w:sz w:val="20"/>
          <w:szCs w:val="20"/>
        </w:rPr>
      </w:pPr>
      <w:r>
        <w:rPr>
          <w:rFonts w:ascii="Arial" w:eastAsiaTheme="majorEastAsia" w:hAnsi="Arial" w:cs="Arial"/>
          <w:bCs/>
          <w:sz w:val="20"/>
          <w:szCs w:val="20"/>
        </w:rPr>
        <w:t>mob:</w:t>
      </w:r>
      <w:r w:rsidR="004E2842" w:rsidRPr="004E2842">
        <w:rPr>
          <w:rFonts w:ascii="Arial" w:eastAsiaTheme="majorEastAsia" w:hAnsi="Arial" w:cs="Arial"/>
          <w:bCs/>
          <w:sz w:val="20"/>
          <w:szCs w:val="20"/>
        </w:rPr>
        <w:tab/>
      </w:r>
    </w:p>
    <w:p w:rsidR="005C72DD" w:rsidRPr="004E2842" w:rsidRDefault="004E2842" w:rsidP="004E2842">
      <w:pPr>
        <w:pStyle w:val="Podkapitoly"/>
        <w:numPr>
          <w:ilvl w:val="0"/>
          <w:numId w:val="0"/>
        </w:numPr>
        <w:tabs>
          <w:tab w:val="left" w:pos="5103"/>
        </w:tabs>
        <w:spacing w:after="0"/>
        <w:ind w:left="851"/>
        <w:jc w:val="both"/>
      </w:pPr>
      <w:r w:rsidRPr="004E2842">
        <w:rPr>
          <w:rFonts w:asciiTheme="minorHAnsi" w:eastAsiaTheme="minorHAnsi" w:hAnsiTheme="minorHAnsi" w:cstheme="minorBidi"/>
          <w:bCs w:val="0"/>
          <w:sz w:val="22"/>
          <w:szCs w:val="22"/>
        </w:rPr>
        <w:t>e-mail:</w:t>
      </w:r>
      <w:r>
        <w:rPr>
          <w:rFonts w:asciiTheme="minorHAnsi" w:eastAsiaTheme="minorHAnsi" w:hAnsiTheme="minorHAnsi" w:cstheme="minorBidi"/>
          <w:bCs w:val="0"/>
          <w:sz w:val="22"/>
          <w:szCs w:val="22"/>
        </w:rPr>
        <w:t xml:space="preserve"> </w:t>
      </w:r>
    </w:p>
    <w:p w:rsidR="00D20DEF" w:rsidRDefault="00D20DEF" w:rsidP="00D20DEF">
      <w:pPr>
        <w:pStyle w:val="Podkapitoly"/>
        <w:numPr>
          <w:ilvl w:val="0"/>
          <w:numId w:val="0"/>
        </w:numPr>
        <w:tabs>
          <w:tab w:val="left" w:pos="5103"/>
        </w:tabs>
        <w:spacing w:after="0"/>
        <w:ind w:left="851"/>
        <w:jc w:val="both"/>
      </w:pPr>
    </w:p>
    <w:p w:rsidR="001254C6" w:rsidRDefault="001254C6" w:rsidP="00D20DEF">
      <w:pPr>
        <w:pStyle w:val="Podkapitoly"/>
        <w:numPr>
          <w:ilvl w:val="0"/>
          <w:numId w:val="0"/>
        </w:numPr>
        <w:tabs>
          <w:tab w:val="left" w:pos="5103"/>
        </w:tabs>
        <w:spacing w:after="0"/>
        <w:ind w:left="851"/>
        <w:jc w:val="both"/>
      </w:pPr>
    </w:p>
    <w:p w:rsidR="00D20DEF" w:rsidRDefault="008E4BAF" w:rsidP="00D20DEF">
      <w:pPr>
        <w:pStyle w:val="Podkapitoly"/>
        <w:numPr>
          <w:ilvl w:val="0"/>
          <w:numId w:val="0"/>
        </w:numPr>
        <w:tabs>
          <w:tab w:val="left" w:pos="5103"/>
        </w:tabs>
        <w:spacing w:after="0"/>
        <w:ind w:left="851"/>
        <w:jc w:val="both"/>
        <w:rPr>
          <w:u w:val="single"/>
        </w:rPr>
      </w:pPr>
      <w:r w:rsidRPr="00C91C76">
        <w:rPr>
          <w:u w:val="single"/>
        </w:rPr>
        <w:t>Osoby oprávnené rokovať vo veciach technických a</w:t>
      </w:r>
      <w:r>
        <w:rPr>
          <w:u w:val="single"/>
        </w:rPr>
        <w:t> </w:t>
      </w:r>
      <w:r w:rsidRPr="00C91C76">
        <w:rPr>
          <w:u w:val="single"/>
        </w:rPr>
        <w:t>dispečerských:</w:t>
      </w:r>
    </w:p>
    <w:p w:rsidR="001254C6" w:rsidRDefault="001254C6" w:rsidP="00D20DEF">
      <w:pPr>
        <w:pStyle w:val="Podkapitoly"/>
        <w:numPr>
          <w:ilvl w:val="0"/>
          <w:numId w:val="0"/>
        </w:numPr>
        <w:tabs>
          <w:tab w:val="left" w:pos="5103"/>
        </w:tabs>
        <w:spacing w:after="0"/>
        <w:ind w:left="851"/>
        <w:jc w:val="both"/>
        <w:rPr>
          <w:u w:val="single"/>
        </w:rPr>
      </w:pPr>
    </w:p>
    <w:p w:rsidR="00D20DEF" w:rsidRDefault="008E4BAF" w:rsidP="00D20DEF">
      <w:pPr>
        <w:pStyle w:val="Podkapitoly"/>
        <w:numPr>
          <w:ilvl w:val="0"/>
          <w:numId w:val="0"/>
        </w:numPr>
        <w:tabs>
          <w:tab w:val="left" w:pos="5103"/>
        </w:tabs>
        <w:spacing w:after="0"/>
        <w:ind w:left="851"/>
        <w:jc w:val="both"/>
      </w:pPr>
      <w:r w:rsidRPr="00C91C76">
        <w:t xml:space="preserve">Za </w:t>
      </w:r>
      <w:r>
        <w:t>Dodávateľa</w:t>
      </w:r>
      <w:r w:rsidRPr="00C91C76">
        <w:t xml:space="preserve">: </w:t>
      </w:r>
    </w:p>
    <w:p w:rsidR="00D20DEF" w:rsidRDefault="008E4BAF" w:rsidP="00D20DEF">
      <w:pPr>
        <w:pStyle w:val="Podkapitoly"/>
        <w:numPr>
          <w:ilvl w:val="0"/>
          <w:numId w:val="0"/>
        </w:numPr>
        <w:tabs>
          <w:tab w:val="left" w:pos="5103"/>
        </w:tabs>
        <w:spacing w:after="0"/>
        <w:ind w:left="851"/>
        <w:jc w:val="both"/>
      </w:pPr>
      <w:r w:rsidRPr="00C91C76">
        <w:t>Ing. Mário Matušinec</w:t>
      </w:r>
      <w:r w:rsidR="00D20DEF">
        <w:tab/>
        <w:t>Ing. Ján Žiška</w:t>
      </w:r>
    </w:p>
    <w:p w:rsidR="00D20DEF" w:rsidRDefault="004F5910" w:rsidP="00D20DEF">
      <w:pPr>
        <w:pStyle w:val="Podkapitoly"/>
        <w:numPr>
          <w:ilvl w:val="0"/>
          <w:numId w:val="0"/>
        </w:numPr>
        <w:tabs>
          <w:tab w:val="left" w:pos="5103"/>
        </w:tabs>
        <w:spacing w:after="0"/>
        <w:ind w:left="851"/>
        <w:jc w:val="both"/>
      </w:pPr>
      <w:r>
        <w:t>tel:</w:t>
      </w:r>
      <w:r>
        <w:tab/>
        <w:t>tel.:</w:t>
      </w:r>
    </w:p>
    <w:p w:rsidR="00D20DEF" w:rsidRDefault="008E4BAF" w:rsidP="00D20DEF">
      <w:pPr>
        <w:pStyle w:val="Podkapitoly"/>
        <w:numPr>
          <w:ilvl w:val="0"/>
          <w:numId w:val="0"/>
        </w:numPr>
        <w:tabs>
          <w:tab w:val="left" w:pos="5103"/>
        </w:tabs>
        <w:spacing w:after="0"/>
        <w:ind w:left="851"/>
        <w:jc w:val="both"/>
      </w:pPr>
      <w:r w:rsidRPr="00C91C76">
        <w:t>fax:</w:t>
      </w:r>
      <w:r>
        <w:tab/>
        <w:t xml:space="preserve">fax: </w:t>
      </w:r>
    </w:p>
    <w:p w:rsidR="00D20DEF" w:rsidRDefault="008E4BAF" w:rsidP="00D20DEF">
      <w:pPr>
        <w:pStyle w:val="Podkapitoly"/>
        <w:numPr>
          <w:ilvl w:val="0"/>
          <w:numId w:val="0"/>
        </w:numPr>
        <w:tabs>
          <w:tab w:val="left" w:pos="5103"/>
        </w:tabs>
        <w:spacing w:after="0"/>
        <w:ind w:left="851"/>
        <w:jc w:val="both"/>
      </w:pPr>
      <w:r w:rsidRPr="00C91C76">
        <w:t>mob:</w:t>
      </w:r>
      <w:r w:rsidR="004F5910">
        <w:tab/>
        <w:t xml:space="preserve">mob: </w:t>
      </w:r>
    </w:p>
    <w:p w:rsidR="00D20DEF" w:rsidRDefault="008E4BAF" w:rsidP="00D20DEF">
      <w:pPr>
        <w:pStyle w:val="Podkapitoly"/>
        <w:numPr>
          <w:ilvl w:val="0"/>
          <w:numId w:val="0"/>
        </w:numPr>
        <w:tabs>
          <w:tab w:val="left" w:pos="5103"/>
        </w:tabs>
        <w:spacing w:after="0"/>
        <w:ind w:left="851"/>
        <w:jc w:val="both"/>
      </w:pPr>
      <w:r w:rsidRPr="00C91C76">
        <w:t xml:space="preserve">e-mail: </w:t>
      </w:r>
      <w:r>
        <w:t xml:space="preserve"> </w:t>
      </w:r>
      <w:r>
        <w:tab/>
        <w:t xml:space="preserve">e-mail: </w:t>
      </w:r>
    </w:p>
    <w:p w:rsidR="00D20DEF" w:rsidRDefault="00D20DEF" w:rsidP="00D20DEF">
      <w:pPr>
        <w:pStyle w:val="Podkapitoly"/>
        <w:numPr>
          <w:ilvl w:val="0"/>
          <w:numId w:val="0"/>
        </w:numPr>
        <w:tabs>
          <w:tab w:val="left" w:pos="5103"/>
        </w:tabs>
        <w:spacing w:after="0"/>
        <w:ind w:left="851"/>
        <w:jc w:val="both"/>
      </w:pPr>
    </w:p>
    <w:p w:rsidR="00D20DEF" w:rsidRDefault="008E4BAF" w:rsidP="00D20DEF">
      <w:pPr>
        <w:pStyle w:val="Podkapitoly"/>
        <w:numPr>
          <w:ilvl w:val="0"/>
          <w:numId w:val="0"/>
        </w:numPr>
        <w:tabs>
          <w:tab w:val="left" w:pos="5103"/>
        </w:tabs>
        <w:spacing w:after="0"/>
        <w:ind w:left="851"/>
        <w:jc w:val="both"/>
      </w:pPr>
      <w:r w:rsidRPr="00C91C76">
        <w:t xml:space="preserve">Za </w:t>
      </w:r>
      <w:r>
        <w:t>Odberateľa</w:t>
      </w:r>
      <w:r w:rsidRPr="00C91C76">
        <w:t xml:space="preserve">: </w:t>
      </w:r>
    </w:p>
    <w:p w:rsidR="00D20DEF" w:rsidRDefault="005C72DD" w:rsidP="00D20DEF">
      <w:pPr>
        <w:pStyle w:val="Podkapitoly"/>
        <w:numPr>
          <w:ilvl w:val="0"/>
          <w:numId w:val="0"/>
        </w:numPr>
        <w:tabs>
          <w:tab w:val="left" w:pos="5103"/>
        </w:tabs>
        <w:spacing w:after="0"/>
        <w:ind w:left="851"/>
        <w:jc w:val="both"/>
      </w:pPr>
      <w:r w:rsidRPr="005C72DD">
        <w:t>Ing. Marian Dúbrava</w:t>
      </w:r>
    </w:p>
    <w:p w:rsidR="00D20DEF" w:rsidRDefault="005C72DD" w:rsidP="00D20DEF">
      <w:pPr>
        <w:pStyle w:val="Podkapitoly"/>
        <w:numPr>
          <w:ilvl w:val="0"/>
          <w:numId w:val="0"/>
        </w:numPr>
        <w:tabs>
          <w:tab w:val="left" w:pos="5103"/>
        </w:tabs>
        <w:spacing w:after="0"/>
        <w:ind w:left="851"/>
        <w:jc w:val="both"/>
      </w:pPr>
      <w:r>
        <w:t>t</w:t>
      </w:r>
      <w:r w:rsidR="00D20DEF">
        <w:t xml:space="preserve">el: </w:t>
      </w:r>
    </w:p>
    <w:p w:rsidR="00D20DEF" w:rsidRDefault="004F5910" w:rsidP="00D20DEF">
      <w:pPr>
        <w:pStyle w:val="Podkapitoly"/>
        <w:numPr>
          <w:ilvl w:val="0"/>
          <w:numId w:val="0"/>
        </w:numPr>
        <w:tabs>
          <w:tab w:val="left" w:pos="5103"/>
        </w:tabs>
        <w:spacing w:after="0"/>
        <w:ind w:left="851"/>
        <w:jc w:val="both"/>
      </w:pPr>
      <w:r>
        <w:t xml:space="preserve">fax: </w:t>
      </w:r>
    </w:p>
    <w:p w:rsidR="00D20DEF" w:rsidRDefault="008E4BAF" w:rsidP="00D20DEF">
      <w:pPr>
        <w:pStyle w:val="Podkapitoly"/>
        <w:numPr>
          <w:ilvl w:val="0"/>
          <w:numId w:val="0"/>
        </w:numPr>
        <w:tabs>
          <w:tab w:val="left" w:pos="5103"/>
        </w:tabs>
        <w:spacing w:after="0"/>
        <w:ind w:left="851"/>
        <w:jc w:val="both"/>
      </w:pPr>
      <w:r w:rsidRPr="00C91C76">
        <w:t>mob:</w:t>
      </w:r>
      <w:r w:rsidR="00D20DEF">
        <w:t xml:space="preserve"> </w:t>
      </w:r>
      <w:r w:rsidRPr="00C91C76">
        <w:t> </w:t>
      </w:r>
    </w:p>
    <w:p w:rsidR="008E4BAF" w:rsidRDefault="008E4BAF" w:rsidP="00D20DEF">
      <w:pPr>
        <w:pStyle w:val="Podkapitoly"/>
        <w:numPr>
          <w:ilvl w:val="0"/>
          <w:numId w:val="0"/>
        </w:numPr>
        <w:tabs>
          <w:tab w:val="left" w:pos="5103"/>
        </w:tabs>
        <w:spacing w:after="0"/>
        <w:ind w:left="851"/>
        <w:jc w:val="both"/>
      </w:pPr>
      <w:r w:rsidRPr="00C91C76">
        <w:t xml:space="preserve">e-mail: </w:t>
      </w:r>
      <w:bookmarkStart w:id="0" w:name="_GoBack"/>
      <w:bookmarkEnd w:id="0"/>
    </w:p>
    <w:p w:rsidR="005C72DD" w:rsidRPr="00D20DEF" w:rsidRDefault="005C72DD" w:rsidP="00D20DEF">
      <w:pPr>
        <w:pStyle w:val="Podkapitoly"/>
        <w:numPr>
          <w:ilvl w:val="0"/>
          <w:numId w:val="0"/>
        </w:numPr>
        <w:tabs>
          <w:tab w:val="left" w:pos="5103"/>
        </w:tabs>
        <w:spacing w:after="0"/>
        <w:ind w:left="851"/>
        <w:jc w:val="both"/>
      </w:pPr>
    </w:p>
    <w:p w:rsidR="00170EB6" w:rsidRDefault="00D62FCE" w:rsidP="00170EB6">
      <w:pPr>
        <w:pStyle w:val="Podkapitoly"/>
        <w:jc w:val="both"/>
      </w:pPr>
      <w:r w:rsidRPr="00D62FCE">
        <w:t xml:space="preserve">Všetky oznámenia, ktoré majú byť predložené, budú písomné a budú doručované poštou alebo potvrdeným doručením na adresu druhej zmluvnej strany uvedenej v záhlaví tejto Zmluvy. </w:t>
      </w:r>
      <w:r w:rsidR="004E2842" w:rsidRPr="004E2842">
        <w:t>Písomnosti týkajúce sa výpovede zo zákonných dôvodov, výpovede zo Zmluvy, odstúpenia od Zmluvy a uzatvorenia Zmluvy budú písomné a budú doručované poštou na adresu druhej zmluvnej strany uvedenej v záhlaví tejto Zmluvy.</w:t>
      </w:r>
    </w:p>
    <w:p w:rsidR="001254C6" w:rsidRPr="00B96530" w:rsidRDefault="001254C6" w:rsidP="001254C6">
      <w:pPr>
        <w:pStyle w:val="Podkapitoly"/>
        <w:numPr>
          <w:ilvl w:val="0"/>
          <w:numId w:val="0"/>
        </w:numPr>
        <w:ind w:left="851"/>
        <w:jc w:val="both"/>
      </w:pPr>
    </w:p>
    <w:p w:rsidR="00170EB6" w:rsidRDefault="00170EB6" w:rsidP="00B96530">
      <w:pPr>
        <w:pStyle w:val="lnky"/>
        <w:spacing w:before="240"/>
      </w:pPr>
    </w:p>
    <w:p w:rsidR="0045026E" w:rsidRPr="00B23688" w:rsidRDefault="001E7FC9" w:rsidP="00B23688">
      <w:pPr>
        <w:pStyle w:val="lnky"/>
        <w:numPr>
          <w:ilvl w:val="0"/>
          <w:numId w:val="0"/>
        </w:numPr>
        <w:spacing w:after="240"/>
        <w:rPr>
          <w:b/>
          <w:sz w:val="22"/>
        </w:rPr>
      </w:pPr>
      <w:r>
        <w:rPr>
          <w:b/>
          <w:sz w:val="22"/>
        </w:rPr>
        <w:t xml:space="preserve">Trvanie </w:t>
      </w:r>
      <w:r w:rsidR="00D62FCE" w:rsidRPr="00170EB6">
        <w:rPr>
          <w:b/>
          <w:sz w:val="22"/>
        </w:rPr>
        <w:t>a ukončenie Zmluvy</w:t>
      </w:r>
    </w:p>
    <w:p w:rsidR="0045026E" w:rsidRDefault="00D62FCE" w:rsidP="0045026E">
      <w:pPr>
        <w:pStyle w:val="Podkapitoly"/>
        <w:jc w:val="both"/>
      </w:pPr>
      <w:r w:rsidRPr="00D62FCE">
        <w:t>Táto Zm</w:t>
      </w:r>
      <w:r w:rsidR="00111599">
        <w:t>luva sa uzatvára na dobu určitú</w:t>
      </w:r>
      <w:r w:rsidRPr="00D62FCE">
        <w:t xml:space="preserve"> a to od </w:t>
      </w:r>
      <w:r w:rsidRPr="005C72DD">
        <w:t>01.01.2015 do 31.12.2015 v rozpätí</w:t>
      </w:r>
      <w:r w:rsidRPr="00D62FCE">
        <w:t xml:space="preserve"> plynárenského dňa.</w:t>
      </w:r>
    </w:p>
    <w:p w:rsidR="00170EB6" w:rsidRDefault="00D62FCE" w:rsidP="0045026E">
      <w:pPr>
        <w:pStyle w:val="Podkapitoly"/>
        <w:jc w:val="both"/>
      </w:pPr>
      <w:r w:rsidRPr="00170EB6">
        <w:t>Túto Zmluvu je možné ukončiť písomnou dohodou zmluvných strán.</w:t>
      </w:r>
    </w:p>
    <w:p w:rsidR="00170EB6" w:rsidRDefault="00D62FCE" w:rsidP="00170EB6">
      <w:pPr>
        <w:pStyle w:val="Podkapitoly"/>
        <w:jc w:val="both"/>
      </w:pPr>
      <w:r w:rsidRPr="00170EB6">
        <w:t>Každá zo zmluvných strán je oprávnená písomne ods</w:t>
      </w:r>
      <w:r w:rsidR="001E7FC9">
        <w:t xml:space="preserve">túpiť od tejto Zmluvy z dôvodov uvedených vo </w:t>
      </w:r>
      <w:r w:rsidRPr="00170EB6">
        <w:t xml:space="preserve">VOP a tejto Zmluve. </w:t>
      </w:r>
    </w:p>
    <w:p w:rsidR="00170EB6" w:rsidRDefault="00D62FCE" w:rsidP="00170EB6">
      <w:pPr>
        <w:pStyle w:val="Podkapitoly"/>
        <w:jc w:val="both"/>
      </w:pPr>
      <w:r w:rsidRPr="00170EB6">
        <w:t>Písomné odstúpenie od tejto Zmluvy sa doručuje druhej zmluvnej strane doporučeným listom s doručenkou zaslaným na adresu sídla</w:t>
      </w:r>
      <w:r w:rsidR="00111599">
        <w:t xml:space="preserve"> uvedenú v záhlaví tejto Zmluvy</w:t>
      </w:r>
      <w:r w:rsidRPr="00170EB6">
        <w:t xml:space="preserve"> alebo na adresu, ktorá bude neskôr, v súlade s touto Zmluvou, preukázateľne oznámená zmluvnej strane ako adresa pre doručovanie. Ak si zmluvná strana, ktorej je písomné oznámenie o odstúpení od Zmluvy určené a zaslané týmto spôsobom a toto z akéhokoľvek dôvodu neprevezme, považuje sa oznámenie o dostúpení od Zmluvy za doručené na 5.</w:t>
      </w:r>
      <w:r w:rsidR="00111599">
        <w:t xml:space="preserve"> </w:t>
      </w:r>
      <w:r w:rsidRPr="00170EB6">
        <w:t>deň odo dňa jeho odoslania, aj keď sa adresát o doručení (uložení na pošte) nedozvedel. Ak adresát odmietne oznámenie o odstúpení od Zmluvy prevziať, považuje sa toto za doručené dňom, keď bolo prevzatie odmietnuté.</w:t>
      </w:r>
    </w:p>
    <w:p w:rsidR="00170EB6" w:rsidRDefault="00D62FCE" w:rsidP="00170EB6">
      <w:pPr>
        <w:pStyle w:val="Podkapitoly"/>
        <w:jc w:val="both"/>
      </w:pPr>
      <w:r w:rsidRPr="00170EB6">
        <w:t xml:space="preserve">V prípade </w:t>
      </w:r>
      <w:r w:rsidR="001E7FC9">
        <w:t xml:space="preserve">odstúpenia od Zmluvy zostávajú </w:t>
      </w:r>
      <w:r w:rsidRPr="00170EB6">
        <w:t>práva a povinnosti vyplývajúce zo Zmluvy do dňa účinnosti odstúpenia zachované. Zmluvné strany sú povinné vyrovnať si všetky pohľadávky a záväzky, ktoré vznikli do dňa účinnosti odstúpenia od tejto Zmluvy.</w:t>
      </w:r>
    </w:p>
    <w:p w:rsidR="00D62FCE" w:rsidRDefault="00D62FCE" w:rsidP="00B96530">
      <w:pPr>
        <w:pStyle w:val="Podkapitoly"/>
        <w:spacing w:line="276" w:lineRule="auto"/>
        <w:jc w:val="both"/>
      </w:pPr>
      <w:r w:rsidRPr="00170EB6">
        <w:t xml:space="preserve">Zánik Zmluvy podľa tohto článku sa nedotýka nároku na náhradu škody vzniknutej porušením tejto Zmluvy, zmluvných ustanovení týkajúcich sa voľby práva, riešenia sporov medzi Zmluvnými stranami a ostatných ustanovení, ktoré podľa tejto </w:t>
      </w:r>
      <w:r w:rsidR="001E7FC9">
        <w:t xml:space="preserve">Zmluvy alebo vzhľadom na svoju </w:t>
      </w:r>
      <w:r w:rsidRPr="00170EB6">
        <w:t>povahu majú trvať aj po ukončení platnosti a účinnosti tejto Zmluvy.</w:t>
      </w:r>
    </w:p>
    <w:p w:rsidR="001254C6" w:rsidRPr="00B96530" w:rsidRDefault="001254C6" w:rsidP="001254C6">
      <w:pPr>
        <w:pStyle w:val="Podkapitoly"/>
        <w:numPr>
          <w:ilvl w:val="0"/>
          <w:numId w:val="0"/>
        </w:numPr>
        <w:spacing w:line="276" w:lineRule="auto"/>
        <w:ind w:left="851"/>
        <w:jc w:val="both"/>
      </w:pPr>
    </w:p>
    <w:p w:rsidR="00170EB6" w:rsidRDefault="00170EB6" w:rsidP="00B96530">
      <w:pPr>
        <w:pStyle w:val="lnky"/>
        <w:spacing w:before="240"/>
      </w:pPr>
    </w:p>
    <w:p w:rsidR="0045026E" w:rsidRPr="00B23688" w:rsidRDefault="00D62FCE" w:rsidP="00B23688">
      <w:pPr>
        <w:pStyle w:val="lnky"/>
        <w:numPr>
          <w:ilvl w:val="0"/>
          <w:numId w:val="0"/>
        </w:numPr>
        <w:spacing w:after="240"/>
        <w:rPr>
          <w:b/>
          <w:sz w:val="22"/>
        </w:rPr>
      </w:pPr>
      <w:r w:rsidRPr="00170EB6">
        <w:rPr>
          <w:b/>
          <w:sz w:val="22"/>
        </w:rPr>
        <w:t>Záverečné ustanovenia</w:t>
      </w:r>
    </w:p>
    <w:p w:rsidR="00170EB6" w:rsidRDefault="00D62FCE" w:rsidP="0045026E">
      <w:pPr>
        <w:pStyle w:val="Podkapitoly"/>
      </w:pPr>
      <w:r w:rsidRPr="00D62FCE">
        <w:t xml:space="preserve">Táto Zmluva nadobúda platnosť dňom jej podpisu oboma zmluvnými stranami a účinnosť dňom </w:t>
      </w:r>
      <w:r w:rsidRPr="005C72DD">
        <w:t>01.01.2015.</w:t>
      </w:r>
      <w:r w:rsidRPr="00D62FCE">
        <w:t xml:space="preserve"> </w:t>
      </w:r>
    </w:p>
    <w:p w:rsidR="00170EB6" w:rsidRDefault="00D62FCE" w:rsidP="00170EB6">
      <w:pPr>
        <w:pStyle w:val="Podkapitoly"/>
        <w:jc w:val="both"/>
      </w:pPr>
      <w:r w:rsidRPr="00170EB6">
        <w:t>Právne vzťahy touto Zmluvou výslovne neupravené sa riadia príslušnými ustanoveniami zákona č. 513/1991 Zb. Obchodný zákonník Slovenskej republiky v znení neskorších predpisov, zákona o 251/2012 Z. z. o energetike a o zmene a doplnení niektorých zákonov v znení neskorších predpisov, vyhlášky Úradu pre reguláciu sieťových odvetví č. 24/2013 Z. z., ktorou sa ustanovujú pravidlá pre fungovani</w:t>
      </w:r>
      <w:r w:rsidR="001E7FC9">
        <w:t xml:space="preserve">e vnútorného trhu s elektrinou </w:t>
      </w:r>
      <w:r w:rsidRPr="00170EB6">
        <w:t>a pravidlá pre fungovanie vnútorného trhu s plynom, ako aj ďalšími príslušnými všeobecne záväznými právnymi predpismi vzťahujúcimi sa na podnikanie v plynáren</w:t>
      </w:r>
      <w:r w:rsidR="001E7FC9">
        <w:t>stve.</w:t>
      </w:r>
    </w:p>
    <w:p w:rsidR="00170EB6" w:rsidRDefault="00D62FCE" w:rsidP="00170EB6">
      <w:pPr>
        <w:pStyle w:val="Podkapitoly"/>
        <w:jc w:val="both"/>
      </w:pPr>
      <w:r w:rsidRPr="00170EB6">
        <w:t>Zmluvné stra</w:t>
      </w:r>
      <w:r w:rsidR="001E7FC9">
        <w:t>ny sa budú usilovať o zmierlivé</w:t>
      </w:r>
      <w:r w:rsidRPr="00170EB6">
        <w:t xml:space="preserve"> riešenie všetkých sporov spojených s touto Zmluvou. V prípade, ak nedôjde k urovnaniu sporov zmierom, zmluvné strany sa dohodli, že spor bude rozhodovať vecne a miestne príslušný súd v súlade s príslušnými ustanoveniami zákona č. 99/1963 Zb. Občiansky súdny poriadok v znení neskorších predpisov.</w:t>
      </w:r>
    </w:p>
    <w:p w:rsidR="00170EB6" w:rsidRDefault="00D62FCE" w:rsidP="00170EB6">
      <w:pPr>
        <w:pStyle w:val="Podkapitoly"/>
        <w:jc w:val="both"/>
      </w:pPr>
      <w:r w:rsidRPr="00170EB6">
        <w:t>Túto Zmluvu je možné meniť a dopĺňať, okrem prípadov v nej výslovne uvedených, len na základe dohody zmluvných strán, ktorá bude mať formu písomných dodatkov podpísaných oprávnenými zástupcami zmluvných strán. Zmena identifikačných údajov zmluvných strán zapisovaných do obchodného registra, ako aj číslo účtu, zmeny útvaru zodpovedného za uzatvorenie a plnenie tejto Zmluvy alebo zmena oprávnených osôb sa budú považovať za zmeny vyžadujúce si uzavretie dodatku k tejto Zml</w:t>
      </w:r>
      <w:r w:rsidR="001E7FC9">
        <w:t xml:space="preserve">uvy. Zmluvná strana je povinná </w:t>
      </w:r>
      <w:r w:rsidRPr="00170EB6">
        <w:t>zmeny týchto údajov – v závislosti od okolnosti prípadu – oznámiť druhej zmluvnej strane bez zbytočného odkladu písomne, najneskôr však 10 dní pred prijatím zmeny alebo do 10 dní od vzniku účinnosti zmeny (registrácia).</w:t>
      </w:r>
    </w:p>
    <w:p w:rsidR="00170EB6" w:rsidRDefault="00D62FCE" w:rsidP="00170EB6">
      <w:pPr>
        <w:pStyle w:val="Podkapitoly"/>
        <w:jc w:val="both"/>
      </w:pPr>
      <w:r w:rsidRPr="00170EB6">
        <w:t>Ustanovenia tejto Zmluvy sú oddeliteľné. Ak sa počas trvania zmluvného vzťahu stane akékoľvek ustanovenie tejto Zmluvy (alebo jeho časti</w:t>
      </w:r>
      <w:r w:rsidR="001E7FC9">
        <w:t xml:space="preserve">) neplatné alebo nevynútiteľné </w:t>
      </w:r>
      <w:r w:rsidRPr="00170EB6">
        <w:t>v dôsledku zmeny platných právnych predpisov, nebude tým dotknutá platnosť ani vynútiteľnosť ostatných ustanovení tejto Zmluvy a zmluvné strany sa zaväzujú rokovať s cieľom úpravy zmluvného vzťahu v zmysle novej právnej úpravy a nahradiť dotknuté ustanovenia novými, ur</w:t>
      </w:r>
      <w:r w:rsidR="001E7FC9">
        <w:t xml:space="preserve">čenými právnou </w:t>
      </w:r>
      <w:r w:rsidRPr="00170EB6">
        <w:t>úpravou resp. zmenou tak, aby bol zachovaný účel tejto Zmluvy a zámery zmluvných strán obsiahnuté v pôvodných ustanoveniach.</w:t>
      </w:r>
    </w:p>
    <w:p w:rsidR="00170EB6" w:rsidRDefault="00D62FCE" w:rsidP="00170EB6">
      <w:pPr>
        <w:pStyle w:val="Podkapitoly"/>
        <w:jc w:val="both"/>
      </w:pPr>
      <w:r w:rsidRPr="00170EB6">
        <w:t>Nadpisy v Zmluve slúžia iba k jej prehľadnosti a neberú sa do úvahy pri výklade Zmluvy, rovnako sa nepovažuj</w:t>
      </w:r>
      <w:r w:rsidR="00111599">
        <w:t>ú ani za definície</w:t>
      </w:r>
      <w:r w:rsidRPr="00170EB6">
        <w:t xml:space="preserve"> alebo za vysvetlivky jednotlivých zmluvných ustanovení.</w:t>
      </w:r>
    </w:p>
    <w:p w:rsidR="00170EB6" w:rsidRDefault="00D62FCE" w:rsidP="00170EB6">
      <w:pPr>
        <w:pStyle w:val="Podkapitoly"/>
        <w:jc w:val="both"/>
      </w:pPr>
      <w:r w:rsidRPr="00170EB6">
        <w:t>Všetky práva a povinnosti vyplývajúce z tejto Zmluvy prechádzajú v prípade splynutia, zlúčenia alebo rozdelenia zmluvnej strany v súlade s ustanoveniami Obchodného zákonníka</w:t>
      </w:r>
      <w:r w:rsidR="001E7FC9">
        <w:t xml:space="preserve"> Slovenskej republiky </w:t>
      </w:r>
      <w:r w:rsidRPr="00170EB6">
        <w:t>v platnom znení na jej právneho nástupcu alebo právnych nástupcov tak, ako to bude určené v platnej zmluve o splynutí, zlúčení alebo rozdelení spoločnosti.</w:t>
      </w:r>
    </w:p>
    <w:p w:rsidR="00107047" w:rsidRPr="00107047" w:rsidRDefault="00107047" w:rsidP="00107047">
      <w:pPr>
        <w:pStyle w:val="Podkapitoly"/>
      </w:pPr>
      <w:r w:rsidRPr="00107047">
        <w:t>V prípade, že je rozpor medzi ustanoveniami tejto Zmluvy a ustanoveniami VOP, platia ustanovenia tejto Zmluvy.</w:t>
      </w:r>
    </w:p>
    <w:p w:rsidR="00107047" w:rsidRPr="00107047" w:rsidRDefault="00D62FCE" w:rsidP="00107047">
      <w:pPr>
        <w:pStyle w:val="Podkapitoly"/>
        <w:jc w:val="both"/>
      </w:pPr>
      <w:r w:rsidRPr="00170EB6">
        <w:t xml:space="preserve">Táto Zmluva je vyhotovená </w:t>
      </w:r>
      <w:r w:rsidR="00107047" w:rsidRPr="00107047">
        <w:t>v 3 (troch) origináloch, z ktorých Dodávateľ obdrží 1 (jeden) originál a Odberateľ 2 (dva) originály.</w:t>
      </w:r>
    </w:p>
    <w:p w:rsidR="00170EB6" w:rsidRDefault="00D62FCE" w:rsidP="00B23688">
      <w:pPr>
        <w:pStyle w:val="Podkapitoly"/>
        <w:numPr>
          <w:ilvl w:val="0"/>
          <w:numId w:val="0"/>
        </w:numPr>
        <w:ind w:left="851"/>
        <w:jc w:val="both"/>
      </w:pPr>
      <w:r w:rsidRPr="00170EB6">
        <w:t>Neoddeliteľnou súčasťou tejto Zmluvy sú nasledujúce prílohy:</w:t>
      </w:r>
    </w:p>
    <w:p w:rsidR="00B23688" w:rsidRDefault="00D62FCE" w:rsidP="00B23688">
      <w:pPr>
        <w:pStyle w:val="Podkapitoly"/>
        <w:numPr>
          <w:ilvl w:val="0"/>
          <w:numId w:val="10"/>
        </w:numPr>
        <w:tabs>
          <w:tab w:val="left" w:pos="-6663"/>
        </w:tabs>
        <w:ind w:left="1134" w:hanging="141"/>
        <w:jc w:val="both"/>
      </w:pPr>
      <w:r w:rsidRPr="00D62FCE">
        <w:t>Všeobecné obchodné podmienky pre d</w:t>
      </w:r>
      <w:r w:rsidR="00B23688">
        <w:t>odávku plynu VEMEX ENERGO s.r.o.</w:t>
      </w:r>
    </w:p>
    <w:p w:rsidR="00B23688" w:rsidRDefault="00B23688" w:rsidP="00B23688">
      <w:pPr>
        <w:pStyle w:val="Podkapitoly"/>
        <w:numPr>
          <w:ilvl w:val="0"/>
          <w:numId w:val="10"/>
        </w:numPr>
        <w:tabs>
          <w:tab w:val="left" w:pos="-6663"/>
        </w:tabs>
        <w:ind w:left="1134" w:hanging="141"/>
        <w:jc w:val="both"/>
      </w:pPr>
      <w:r>
        <w:t>Špecifikácia OM a cena</w:t>
      </w:r>
    </w:p>
    <w:p w:rsidR="00B23688" w:rsidRDefault="00B23688" w:rsidP="00B23688">
      <w:pPr>
        <w:pStyle w:val="Podkapitoly"/>
        <w:numPr>
          <w:ilvl w:val="0"/>
          <w:numId w:val="10"/>
        </w:numPr>
        <w:tabs>
          <w:tab w:val="left" w:pos="-6663"/>
        </w:tabs>
        <w:ind w:left="1134" w:hanging="141"/>
        <w:jc w:val="both"/>
      </w:pPr>
      <w:r>
        <w:t>Dispečerský postup</w:t>
      </w:r>
    </w:p>
    <w:p w:rsidR="00B23688" w:rsidRDefault="00D62FCE" w:rsidP="00B23688">
      <w:pPr>
        <w:pStyle w:val="Podkapitoly"/>
        <w:numPr>
          <w:ilvl w:val="0"/>
          <w:numId w:val="10"/>
        </w:numPr>
        <w:tabs>
          <w:tab w:val="left" w:pos="-6663"/>
        </w:tabs>
        <w:ind w:left="1134" w:hanging="141"/>
        <w:jc w:val="both"/>
      </w:pPr>
      <w:r w:rsidRPr="00170EB6">
        <w:t>Regulačné podm</w:t>
      </w:r>
      <w:r w:rsidR="00B23688">
        <w:t>ienky pre riešenie stavov núdze</w:t>
      </w:r>
    </w:p>
    <w:p w:rsidR="00722DF3" w:rsidRDefault="00722DF3" w:rsidP="00B23688">
      <w:pPr>
        <w:pStyle w:val="Podkapitoly"/>
        <w:numPr>
          <w:ilvl w:val="0"/>
          <w:numId w:val="10"/>
        </w:numPr>
        <w:tabs>
          <w:tab w:val="left" w:pos="-6663"/>
        </w:tabs>
        <w:ind w:left="1134" w:hanging="141"/>
        <w:jc w:val="both"/>
      </w:pPr>
      <w:r w:rsidRPr="00722DF3">
        <w:t xml:space="preserve">Generální plná moc (Zmocnitel: VEMEX ENERGO s.r.o., IČ: 35853441, </w:t>
      </w:r>
      <w:r>
        <w:t xml:space="preserve">                      </w:t>
      </w:r>
      <w:r w:rsidRPr="00722DF3">
        <w:t>JUDr. Vladimír Ermakov; Zmocněnec: Ing. Štefan Koman) zo dňa 22.05.2012</w:t>
      </w:r>
    </w:p>
    <w:p w:rsidR="00D20DEF" w:rsidRDefault="00D62FCE" w:rsidP="00D20DEF">
      <w:pPr>
        <w:pStyle w:val="Podkapitoly"/>
        <w:jc w:val="both"/>
      </w:pPr>
      <w:r w:rsidRPr="00D62FCE">
        <w:t>Zmluvné strany výslovne prehlasujú, že si túto Zmluvu prečítali, bola spísaná podľa ich skutočnej a slobodnej vôle, jej obsahu porozumeli a na znak súhlasu s ňou pripája</w:t>
      </w:r>
      <w:r w:rsidR="001E7FC9">
        <w:t>jú</w:t>
      </w:r>
      <w:r w:rsidRPr="00D62FCE">
        <w:t xml:space="preserve"> oprávnení zástupcovia zmluvných strán svoje vlastnoručné podpisy. </w:t>
      </w:r>
    </w:p>
    <w:p w:rsidR="00D20DEF" w:rsidRDefault="00D20DEF" w:rsidP="00D20DEF">
      <w:pPr>
        <w:pStyle w:val="Podkapitoly"/>
        <w:numPr>
          <w:ilvl w:val="0"/>
          <w:numId w:val="0"/>
        </w:numPr>
        <w:ind w:left="851"/>
        <w:jc w:val="both"/>
      </w:pPr>
    </w:p>
    <w:p w:rsidR="0077705B" w:rsidRDefault="008E4BAF" w:rsidP="0077705B">
      <w:pPr>
        <w:pStyle w:val="Podkapitoly"/>
        <w:numPr>
          <w:ilvl w:val="0"/>
          <w:numId w:val="0"/>
        </w:numPr>
        <w:tabs>
          <w:tab w:val="left" w:pos="5103"/>
        </w:tabs>
        <w:ind w:left="851"/>
        <w:jc w:val="both"/>
      </w:pPr>
      <w:r w:rsidRPr="00D20DEF">
        <w:t xml:space="preserve">V </w:t>
      </w:r>
      <w:r w:rsidR="00107047">
        <w:t>Bratislave</w:t>
      </w:r>
      <w:r w:rsidRPr="00D20DEF">
        <w:t>, dňa .........................</w:t>
      </w:r>
      <w:r w:rsidR="0077705B">
        <w:tab/>
      </w:r>
      <w:r w:rsidRPr="00D20DEF">
        <w:t>V Bratislave, dňa ...........................</w:t>
      </w:r>
    </w:p>
    <w:p w:rsidR="0077705B" w:rsidRDefault="008E4BAF" w:rsidP="0077705B">
      <w:pPr>
        <w:pStyle w:val="Podkapitoly"/>
        <w:numPr>
          <w:ilvl w:val="0"/>
          <w:numId w:val="0"/>
        </w:numPr>
        <w:tabs>
          <w:tab w:val="left" w:pos="5103"/>
        </w:tabs>
        <w:ind w:left="851"/>
        <w:jc w:val="both"/>
      </w:pPr>
      <w:r>
        <w:t>Za Odberateľa</w:t>
      </w:r>
      <w:r w:rsidRPr="00A137E8">
        <w:t>:</w:t>
      </w:r>
      <w:r w:rsidR="0077705B">
        <w:tab/>
      </w:r>
      <w:r>
        <w:t>Za Dodávateľa</w:t>
      </w:r>
      <w:r w:rsidRPr="00A137E8">
        <w:t>:</w:t>
      </w:r>
      <w:r w:rsidR="0077705B">
        <w:tab/>
        <w:t xml:space="preserve"> </w:t>
      </w:r>
    </w:p>
    <w:p w:rsidR="0077705B" w:rsidRDefault="0077705B" w:rsidP="0077705B">
      <w:pPr>
        <w:pStyle w:val="Podkapitoly"/>
        <w:numPr>
          <w:ilvl w:val="0"/>
          <w:numId w:val="0"/>
        </w:numPr>
        <w:tabs>
          <w:tab w:val="left" w:pos="5103"/>
        </w:tabs>
        <w:ind w:left="851"/>
        <w:jc w:val="both"/>
      </w:pPr>
    </w:p>
    <w:p w:rsidR="0077705B" w:rsidRDefault="0077705B" w:rsidP="0077705B">
      <w:pPr>
        <w:pStyle w:val="Podkapitoly"/>
        <w:numPr>
          <w:ilvl w:val="0"/>
          <w:numId w:val="0"/>
        </w:numPr>
        <w:tabs>
          <w:tab w:val="left" w:pos="5103"/>
        </w:tabs>
        <w:ind w:left="851"/>
        <w:jc w:val="both"/>
      </w:pPr>
    </w:p>
    <w:p w:rsidR="0077705B" w:rsidRDefault="0077705B" w:rsidP="0077705B">
      <w:pPr>
        <w:pStyle w:val="Podkapitoly"/>
        <w:numPr>
          <w:ilvl w:val="0"/>
          <w:numId w:val="0"/>
        </w:numPr>
        <w:tabs>
          <w:tab w:val="left" w:pos="5103"/>
        </w:tabs>
        <w:ind w:left="851"/>
        <w:jc w:val="both"/>
      </w:pPr>
    </w:p>
    <w:p w:rsidR="008E4BAF" w:rsidRPr="00C91C76" w:rsidRDefault="0077705B" w:rsidP="0077705B">
      <w:pPr>
        <w:pStyle w:val="Podkapitoly"/>
        <w:numPr>
          <w:ilvl w:val="0"/>
          <w:numId w:val="0"/>
        </w:numPr>
        <w:tabs>
          <w:tab w:val="left" w:pos="5103"/>
        </w:tabs>
        <w:ind w:left="851"/>
        <w:jc w:val="both"/>
      </w:pPr>
      <w:r w:rsidRPr="00C91C76">
        <w:t>..............................................</w:t>
      </w:r>
      <w:r>
        <w:tab/>
      </w:r>
      <w:r w:rsidR="008E4BAF" w:rsidRPr="00C91C76">
        <w:t>...............................................</w:t>
      </w:r>
      <w:r w:rsidR="008E4BAF" w:rsidRPr="00C91C76">
        <w:tab/>
      </w:r>
    </w:p>
    <w:p w:rsidR="008E4BAF" w:rsidRPr="00C91C76" w:rsidRDefault="008E4BAF" w:rsidP="001254C6">
      <w:pPr>
        <w:pStyle w:val="Zarkazkladnhotextu"/>
        <w:tabs>
          <w:tab w:val="left" w:pos="883"/>
          <w:tab w:val="left" w:pos="5103"/>
        </w:tabs>
        <w:spacing w:after="0" w:line="240" w:lineRule="auto"/>
        <w:ind w:left="0"/>
        <w:rPr>
          <w:rFonts w:ascii="Arial" w:hAnsi="Arial" w:cs="Arial"/>
          <w:sz w:val="20"/>
          <w:szCs w:val="20"/>
        </w:rPr>
      </w:pPr>
      <w:r w:rsidRPr="00C91C76">
        <w:rPr>
          <w:rFonts w:ascii="Arial" w:hAnsi="Arial" w:cs="Arial"/>
          <w:sz w:val="20"/>
          <w:szCs w:val="20"/>
        </w:rPr>
        <w:tab/>
      </w:r>
      <w:r w:rsidR="001254C6" w:rsidRPr="001254C6">
        <w:rPr>
          <w:rFonts w:ascii="Arial" w:hAnsi="Arial" w:cs="Arial"/>
          <w:sz w:val="20"/>
          <w:szCs w:val="20"/>
        </w:rPr>
        <w:t>Róbert Müller</w:t>
      </w:r>
      <w:r w:rsidR="001254C6">
        <w:rPr>
          <w:rFonts w:ascii="Arial" w:hAnsi="Arial" w:cs="Arial"/>
          <w:sz w:val="20"/>
          <w:szCs w:val="20"/>
        </w:rPr>
        <w:tab/>
      </w:r>
      <w:r w:rsidRPr="00C91C76">
        <w:rPr>
          <w:rFonts w:ascii="Arial" w:hAnsi="Arial" w:cs="Arial"/>
          <w:sz w:val="20"/>
          <w:szCs w:val="20"/>
        </w:rPr>
        <w:t>Ing. Štefan Koman</w:t>
      </w:r>
    </w:p>
    <w:p w:rsidR="008E4BAF" w:rsidRPr="00C91C76" w:rsidRDefault="008E4BAF" w:rsidP="001254C6">
      <w:pPr>
        <w:pStyle w:val="Zarkazkladnhotextu"/>
        <w:tabs>
          <w:tab w:val="left" w:pos="883"/>
          <w:tab w:val="left" w:pos="924"/>
          <w:tab w:val="left" w:pos="5103"/>
        </w:tabs>
        <w:spacing w:after="0" w:line="240" w:lineRule="auto"/>
        <w:ind w:left="0"/>
        <w:rPr>
          <w:rFonts w:ascii="Arial" w:hAnsi="Arial" w:cs="Arial"/>
          <w:sz w:val="20"/>
          <w:szCs w:val="20"/>
        </w:rPr>
      </w:pPr>
      <w:r w:rsidRPr="00C91C76">
        <w:rPr>
          <w:rFonts w:ascii="Arial" w:hAnsi="Arial" w:cs="Arial"/>
          <w:sz w:val="20"/>
          <w:szCs w:val="20"/>
        </w:rPr>
        <w:tab/>
      </w:r>
      <w:r w:rsidR="001254C6">
        <w:rPr>
          <w:rFonts w:ascii="Arial" w:hAnsi="Arial" w:cs="Arial"/>
          <w:sz w:val="20"/>
          <w:szCs w:val="20"/>
        </w:rPr>
        <w:t>kontateľ</w:t>
      </w:r>
      <w:r w:rsidR="001254C6">
        <w:rPr>
          <w:rFonts w:ascii="Arial" w:hAnsi="Arial" w:cs="Arial"/>
          <w:sz w:val="20"/>
          <w:szCs w:val="20"/>
        </w:rPr>
        <w:tab/>
      </w:r>
      <w:r>
        <w:rPr>
          <w:rFonts w:ascii="Arial" w:hAnsi="Arial" w:cs="Arial"/>
          <w:sz w:val="20"/>
          <w:szCs w:val="20"/>
        </w:rPr>
        <w:t>g</w:t>
      </w:r>
      <w:r w:rsidRPr="00C91C76">
        <w:rPr>
          <w:rFonts w:ascii="Arial" w:hAnsi="Arial" w:cs="Arial"/>
          <w:sz w:val="20"/>
          <w:szCs w:val="20"/>
        </w:rPr>
        <w:t>enerálny riaditeľ</w:t>
      </w:r>
    </w:p>
    <w:p w:rsidR="008E4BAF" w:rsidRDefault="001E7FC9" w:rsidP="001254C6">
      <w:pPr>
        <w:tabs>
          <w:tab w:val="left" w:pos="883"/>
          <w:tab w:val="left" w:pos="910"/>
          <w:tab w:val="left" w:pos="5103"/>
        </w:tabs>
        <w:spacing w:after="0" w:line="240" w:lineRule="auto"/>
        <w:rPr>
          <w:rFonts w:ascii="Arial" w:hAnsi="Arial" w:cs="Arial"/>
          <w:sz w:val="20"/>
          <w:szCs w:val="20"/>
        </w:rPr>
      </w:pPr>
      <w:r>
        <w:rPr>
          <w:rFonts w:ascii="Arial" w:hAnsi="Arial" w:cs="Arial"/>
          <w:sz w:val="20"/>
          <w:szCs w:val="20"/>
        </w:rPr>
        <w:tab/>
      </w:r>
      <w:r w:rsidR="001254C6" w:rsidRPr="001254C6">
        <w:rPr>
          <w:rFonts w:ascii="Arial" w:hAnsi="Arial" w:cs="Arial"/>
          <w:sz w:val="20"/>
          <w:szCs w:val="20"/>
        </w:rPr>
        <w:t>KSP, s.r.o.</w:t>
      </w:r>
      <w:r w:rsidR="001254C6">
        <w:rPr>
          <w:rFonts w:ascii="Arial" w:hAnsi="Arial" w:cs="Arial"/>
          <w:sz w:val="20"/>
          <w:szCs w:val="20"/>
        </w:rPr>
        <w:tab/>
      </w:r>
      <w:r>
        <w:rPr>
          <w:rFonts w:ascii="Arial" w:hAnsi="Arial" w:cs="Arial"/>
          <w:sz w:val="20"/>
          <w:szCs w:val="20"/>
        </w:rPr>
        <w:t xml:space="preserve">VEMEX </w:t>
      </w:r>
      <w:r w:rsidR="008E4BAF" w:rsidRPr="00C91C76">
        <w:rPr>
          <w:rFonts w:ascii="Arial" w:hAnsi="Arial" w:cs="Arial"/>
          <w:sz w:val="20"/>
          <w:szCs w:val="20"/>
        </w:rPr>
        <w:t>ENERGO s.r.o.</w:t>
      </w: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Pr="001254C6" w:rsidRDefault="001254C6" w:rsidP="001254C6">
      <w:pPr>
        <w:tabs>
          <w:tab w:val="left" w:pos="5103"/>
        </w:tabs>
        <w:spacing w:after="120" w:line="240" w:lineRule="auto"/>
        <w:ind w:left="851"/>
        <w:jc w:val="both"/>
        <w:outlineLvl w:val="1"/>
        <w:rPr>
          <w:rFonts w:ascii="Arial" w:eastAsiaTheme="majorEastAsia" w:hAnsi="Arial" w:cs="Arial"/>
          <w:bCs/>
          <w:color w:val="4F81BD" w:themeColor="accent1"/>
          <w:sz w:val="20"/>
          <w:szCs w:val="20"/>
        </w:rPr>
      </w:pPr>
      <w:r w:rsidRPr="001254C6">
        <w:rPr>
          <w:rFonts w:ascii="Arial" w:eastAsiaTheme="majorEastAsia" w:hAnsi="Arial" w:cs="Arial"/>
          <w:bCs/>
          <w:color w:val="4F81BD" w:themeColor="accent1"/>
          <w:sz w:val="20"/>
          <w:szCs w:val="20"/>
        </w:rPr>
        <w:t>..............................................</w:t>
      </w:r>
      <w:r w:rsidRPr="001254C6">
        <w:rPr>
          <w:rFonts w:ascii="Arial" w:eastAsiaTheme="majorEastAsia" w:hAnsi="Arial" w:cs="Arial"/>
          <w:bCs/>
          <w:color w:val="4F81BD" w:themeColor="accent1"/>
          <w:sz w:val="20"/>
          <w:szCs w:val="20"/>
        </w:rPr>
        <w:tab/>
      </w:r>
    </w:p>
    <w:p w:rsidR="001254C6" w:rsidRPr="001254C6" w:rsidRDefault="001254C6" w:rsidP="001254C6">
      <w:pPr>
        <w:tabs>
          <w:tab w:val="left" w:pos="883"/>
          <w:tab w:val="left" w:pos="5103"/>
        </w:tabs>
        <w:spacing w:after="0" w:line="240" w:lineRule="auto"/>
        <w:rPr>
          <w:rFonts w:ascii="Arial" w:eastAsia="Times New Roman" w:hAnsi="Arial" w:cs="Arial"/>
          <w:sz w:val="20"/>
          <w:szCs w:val="20"/>
          <w:lang w:eastAsia="sk-SK"/>
        </w:rPr>
      </w:pPr>
      <w:r w:rsidRPr="001254C6">
        <w:rPr>
          <w:rFonts w:ascii="Arial" w:eastAsia="Times New Roman" w:hAnsi="Arial" w:cs="Arial"/>
          <w:sz w:val="20"/>
          <w:szCs w:val="20"/>
          <w:lang w:eastAsia="sk-SK"/>
        </w:rPr>
        <w:tab/>
        <w:t>Branislav Šitina</w:t>
      </w:r>
      <w:r w:rsidRPr="001254C6">
        <w:rPr>
          <w:rFonts w:ascii="Arial" w:eastAsia="Times New Roman" w:hAnsi="Arial" w:cs="Arial"/>
          <w:sz w:val="20"/>
          <w:szCs w:val="20"/>
          <w:lang w:eastAsia="sk-SK"/>
        </w:rPr>
        <w:tab/>
      </w:r>
    </w:p>
    <w:p w:rsidR="001254C6" w:rsidRPr="001254C6" w:rsidRDefault="001254C6" w:rsidP="001254C6">
      <w:pPr>
        <w:tabs>
          <w:tab w:val="left" w:pos="883"/>
          <w:tab w:val="left" w:pos="924"/>
          <w:tab w:val="left" w:pos="5103"/>
        </w:tabs>
        <w:spacing w:after="0" w:line="240" w:lineRule="auto"/>
        <w:rPr>
          <w:rFonts w:ascii="Arial" w:eastAsia="Times New Roman" w:hAnsi="Arial" w:cs="Arial"/>
          <w:sz w:val="20"/>
          <w:szCs w:val="20"/>
          <w:lang w:eastAsia="sk-SK"/>
        </w:rPr>
      </w:pPr>
      <w:r w:rsidRPr="001254C6">
        <w:rPr>
          <w:rFonts w:ascii="Arial" w:eastAsia="Times New Roman" w:hAnsi="Arial" w:cs="Arial"/>
          <w:sz w:val="20"/>
          <w:szCs w:val="20"/>
          <w:lang w:eastAsia="sk-SK"/>
        </w:rPr>
        <w:tab/>
        <w:t>kontateľ</w:t>
      </w:r>
      <w:r w:rsidRPr="001254C6">
        <w:rPr>
          <w:rFonts w:ascii="Arial" w:eastAsia="Times New Roman" w:hAnsi="Arial" w:cs="Arial"/>
          <w:sz w:val="20"/>
          <w:szCs w:val="20"/>
          <w:lang w:eastAsia="sk-SK"/>
        </w:rPr>
        <w:tab/>
      </w:r>
    </w:p>
    <w:p w:rsidR="001254C6" w:rsidRPr="001254C6" w:rsidRDefault="001254C6" w:rsidP="001254C6">
      <w:pPr>
        <w:tabs>
          <w:tab w:val="left" w:pos="883"/>
          <w:tab w:val="left" w:pos="910"/>
          <w:tab w:val="left" w:pos="5103"/>
        </w:tabs>
        <w:spacing w:after="0" w:line="240" w:lineRule="auto"/>
        <w:rPr>
          <w:rFonts w:ascii="Arial" w:hAnsi="Arial" w:cs="Arial"/>
          <w:sz w:val="20"/>
          <w:szCs w:val="20"/>
        </w:rPr>
      </w:pPr>
      <w:r w:rsidRPr="001254C6">
        <w:rPr>
          <w:rFonts w:ascii="Arial" w:hAnsi="Arial" w:cs="Arial"/>
          <w:sz w:val="20"/>
          <w:szCs w:val="20"/>
        </w:rPr>
        <w:tab/>
        <w:t>KSP, s.r.o.</w:t>
      </w:r>
      <w:r w:rsidRPr="001254C6">
        <w:rPr>
          <w:rFonts w:ascii="Arial" w:hAnsi="Arial" w:cs="Arial"/>
          <w:sz w:val="20"/>
          <w:szCs w:val="20"/>
        </w:rPr>
        <w:tab/>
      </w: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Default="001254C6" w:rsidP="001254C6">
      <w:pPr>
        <w:tabs>
          <w:tab w:val="left" w:pos="883"/>
          <w:tab w:val="left" w:pos="910"/>
          <w:tab w:val="left" w:pos="5103"/>
        </w:tabs>
        <w:spacing w:after="0" w:line="240" w:lineRule="auto"/>
        <w:rPr>
          <w:rFonts w:ascii="Arial" w:hAnsi="Arial" w:cs="Arial"/>
          <w:sz w:val="20"/>
          <w:szCs w:val="20"/>
        </w:rPr>
      </w:pPr>
    </w:p>
    <w:p w:rsidR="001254C6" w:rsidRPr="001254C6" w:rsidRDefault="001254C6" w:rsidP="001254C6">
      <w:pPr>
        <w:tabs>
          <w:tab w:val="left" w:pos="5103"/>
        </w:tabs>
        <w:spacing w:after="120" w:line="240" w:lineRule="auto"/>
        <w:ind w:left="851"/>
        <w:jc w:val="both"/>
        <w:outlineLvl w:val="1"/>
        <w:rPr>
          <w:rFonts w:ascii="Arial" w:eastAsiaTheme="majorEastAsia" w:hAnsi="Arial" w:cs="Arial"/>
          <w:bCs/>
          <w:color w:val="4F81BD" w:themeColor="accent1"/>
          <w:sz w:val="20"/>
          <w:szCs w:val="20"/>
        </w:rPr>
      </w:pPr>
      <w:r w:rsidRPr="001254C6">
        <w:rPr>
          <w:rFonts w:ascii="Arial" w:eastAsiaTheme="majorEastAsia" w:hAnsi="Arial" w:cs="Arial"/>
          <w:bCs/>
          <w:color w:val="4F81BD" w:themeColor="accent1"/>
          <w:sz w:val="20"/>
          <w:szCs w:val="20"/>
        </w:rPr>
        <w:t>..............................................</w:t>
      </w:r>
      <w:r w:rsidRPr="001254C6">
        <w:rPr>
          <w:rFonts w:ascii="Arial" w:eastAsiaTheme="majorEastAsia" w:hAnsi="Arial" w:cs="Arial"/>
          <w:bCs/>
          <w:color w:val="4F81BD" w:themeColor="accent1"/>
          <w:sz w:val="20"/>
          <w:szCs w:val="20"/>
        </w:rPr>
        <w:tab/>
      </w:r>
    </w:p>
    <w:p w:rsidR="001254C6" w:rsidRPr="001254C6" w:rsidRDefault="001254C6" w:rsidP="001254C6">
      <w:pPr>
        <w:tabs>
          <w:tab w:val="left" w:pos="883"/>
          <w:tab w:val="left" w:pos="5103"/>
        </w:tabs>
        <w:spacing w:after="0" w:line="240" w:lineRule="auto"/>
        <w:rPr>
          <w:rFonts w:ascii="Arial" w:eastAsia="Times New Roman" w:hAnsi="Arial" w:cs="Arial"/>
          <w:sz w:val="20"/>
          <w:szCs w:val="20"/>
          <w:lang w:eastAsia="sk-SK"/>
        </w:rPr>
      </w:pPr>
      <w:r w:rsidRPr="001254C6">
        <w:rPr>
          <w:rFonts w:ascii="Arial" w:eastAsia="Times New Roman" w:hAnsi="Arial" w:cs="Arial"/>
          <w:sz w:val="20"/>
          <w:szCs w:val="20"/>
          <w:lang w:eastAsia="sk-SK"/>
        </w:rPr>
        <w:tab/>
        <w:t>Ing. Pavol Špaček</w:t>
      </w:r>
      <w:r w:rsidRPr="001254C6">
        <w:rPr>
          <w:rFonts w:ascii="Arial" w:eastAsia="Times New Roman" w:hAnsi="Arial" w:cs="Arial"/>
          <w:sz w:val="20"/>
          <w:szCs w:val="20"/>
          <w:lang w:eastAsia="sk-SK"/>
        </w:rPr>
        <w:tab/>
      </w:r>
    </w:p>
    <w:p w:rsidR="001254C6" w:rsidRPr="001254C6" w:rsidRDefault="001254C6" w:rsidP="001254C6">
      <w:pPr>
        <w:tabs>
          <w:tab w:val="left" w:pos="883"/>
          <w:tab w:val="left" w:pos="924"/>
          <w:tab w:val="left" w:pos="5103"/>
        </w:tabs>
        <w:spacing w:after="0" w:line="240" w:lineRule="auto"/>
        <w:rPr>
          <w:rFonts w:ascii="Arial" w:eastAsia="Times New Roman" w:hAnsi="Arial" w:cs="Arial"/>
          <w:sz w:val="20"/>
          <w:szCs w:val="20"/>
          <w:lang w:eastAsia="sk-SK"/>
        </w:rPr>
      </w:pPr>
      <w:r w:rsidRPr="001254C6">
        <w:rPr>
          <w:rFonts w:ascii="Arial" w:eastAsia="Times New Roman" w:hAnsi="Arial" w:cs="Arial"/>
          <w:sz w:val="20"/>
          <w:szCs w:val="20"/>
          <w:lang w:eastAsia="sk-SK"/>
        </w:rPr>
        <w:tab/>
        <w:t>kontateľ</w:t>
      </w:r>
      <w:r w:rsidRPr="001254C6">
        <w:rPr>
          <w:rFonts w:ascii="Arial" w:eastAsia="Times New Roman" w:hAnsi="Arial" w:cs="Arial"/>
          <w:sz w:val="20"/>
          <w:szCs w:val="20"/>
          <w:lang w:eastAsia="sk-SK"/>
        </w:rPr>
        <w:tab/>
      </w:r>
    </w:p>
    <w:p w:rsidR="001254C6" w:rsidRPr="00C91C76" w:rsidRDefault="001254C6" w:rsidP="001254C6">
      <w:pPr>
        <w:tabs>
          <w:tab w:val="left" w:pos="883"/>
          <w:tab w:val="left" w:pos="910"/>
          <w:tab w:val="left" w:pos="5103"/>
        </w:tabs>
        <w:spacing w:after="0" w:line="240" w:lineRule="auto"/>
        <w:rPr>
          <w:rFonts w:ascii="Arial" w:hAnsi="Arial" w:cs="Arial"/>
          <w:sz w:val="20"/>
          <w:szCs w:val="20"/>
        </w:rPr>
      </w:pPr>
      <w:r w:rsidRPr="001254C6">
        <w:rPr>
          <w:rFonts w:ascii="Arial" w:hAnsi="Arial" w:cs="Arial"/>
          <w:sz w:val="20"/>
          <w:szCs w:val="20"/>
        </w:rPr>
        <w:tab/>
        <w:t>KSP, s.r.o.</w:t>
      </w:r>
      <w:r w:rsidRPr="001254C6">
        <w:rPr>
          <w:rFonts w:ascii="Arial" w:hAnsi="Arial" w:cs="Arial"/>
          <w:sz w:val="20"/>
          <w:szCs w:val="20"/>
        </w:rPr>
        <w:tab/>
      </w:r>
    </w:p>
    <w:sectPr w:rsidR="001254C6" w:rsidRPr="00C91C76" w:rsidSect="00D374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C8" w:rsidRDefault="00DE50C8" w:rsidP="00D01CDA">
      <w:pPr>
        <w:spacing w:after="0" w:line="240" w:lineRule="auto"/>
      </w:pPr>
      <w:r>
        <w:separator/>
      </w:r>
    </w:p>
  </w:endnote>
  <w:endnote w:type="continuationSeparator" w:id="0">
    <w:p w:rsidR="00DE50C8" w:rsidRDefault="00DE50C8" w:rsidP="00D0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KTypeMedium">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C8" w:rsidRDefault="00DE50C8" w:rsidP="00D01CDA">
      <w:pPr>
        <w:spacing w:after="0" w:line="240" w:lineRule="auto"/>
      </w:pPr>
      <w:r>
        <w:separator/>
      </w:r>
    </w:p>
  </w:footnote>
  <w:footnote w:type="continuationSeparator" w:id="0">
    <w:p w:rsidR="00DE50C8" w:rsidRDefault="00DE50C8" w:rsidP="00D01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39F0"/>
    <w:multiLevelType w:val="hybridMultilevel"/>
    <w:tmpl w:val="CB260DCE"/>
    <w:lvl w:ilvl="0" w:tplc="041B0019">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
    <w:nsid w:val="083A3FBE"/>
    <w:multiLevelType w:val="hybridMultilevel"/>
    <w:tmpl w:val="427CFA0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E56D37"/>
    <w:multiLevelType w:val="multilevel"/>
    <w:tmpl w:val="E9501E74"/>
    <w:styleLink w:val="Zmluvylnky"/>
    <w:lvl w:ilvl="0">
      <w:start w:val="1"/>
      <w:numFmt w:val="upperRoman"/>
      <w:suff w:val="nothing"/>
      <w:lvlText w:val="Článok %1"/>
      <w:lvlJc w:val="center"/>
      <w:pPr>
        <w:ind w:left="0" w:firstLine="284"/>
      </w:pPr>
      <w:rPr>
        <w:rFonts w:ascii="Arial" w:hAnsi="Arial" w:hint="default"/>
        <w:b/>
        <w:i w:val="0"/>
        <w:sz w:val="22"/>
      </w:rPr>
    </w:lvl>
    <w:lvl w:ilvl="1">
      <w:start w:val="1"/>
      <w:numFmt w:val="decimal"/>
      <w:isLgl/>
      <w:lvlText w:val="%1.%2."/>
      <w:lvlJc w:val="left"/>
      <w:pPr>
        <w:ind w:left="851" w:hanging="567"/>
      </w:pPr>
      <w:rPr>
        <w:rFonts w:hint="default"/>
      </w:rPr>
    </w:lvl>
    <w:lvl w:ilvl="2">
      <w:start w:val="1"/>
      <w:numFmt w:val="lowerLetter"/>
      <w:lvlText w:val="%3)"/>
      <w:lvlJc w:val="right"/>
      <w:pPr>
        <w:ind w:left="1134"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B191E00"/>
    <w:multiLevelType w:val="hybridMultilevel"/>
    <w:tmpl w:val="22BE20E4"/>
    <w:lvl w:ilvl="0" w:tplc="24E24006">
      <w:start w:val="1"/>
      <w:numFmt w:val="decimal"/>
      <w:lvlText w:val="%1."/>
      <w:lvlJc w:val="left"/>
      <w:pPr>
        <w:ind w:left="720" w:hanging="360"/>
      </w:pPr>
      <w:rPr>
        <w:rFonts w:ascii="Arial" w:hAnsi="Arial" w:hint="default"/>
        <w:b w:val="0"/>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CF272AA"/>
    <w:multiLevelType w:val="hybridMultilevel"/>
    <w:tmpl w:val="EA80E028"/>
    <w:lvl w:ilvl="0" w:tplc="547462CE">
      <w:start w:val="1"/>
      <w:numFmt w:val="upperRoman"/>
      <w:lvlText w:val="Článok %1"/>
      <w:lvlJc w:val="center"/>
      <w:pPr>
        <w:ind w:left="720" w:hanging="360"/>
      </w:pPr>
      <w:rPr>
        <w:rFonts w:ascii="Arial" w:hAnsi="Arial" w:hint="default"/>
        <w:b/>
        <w:i w:val="0"/>
        <w:sz w:val="24"/>
      </w:rPr>
    </w:lvl>
    <w:lvl w:ilvl="1" w:tplc="498A90C2">
      <w:start w:val="1"/>
      <w:numFmt w:val="decimal"/>
      <w:lvlText w:val="%2."/>
      <w:lvlJc w:val="left"/>
      <w:pPr>
        <w:ind w:left="1440" w:hanging="360"/>
      </w:pPr>
      <w:rPr>
        <w:rFonts w:ascii="Arial" w:hAnsi="Arial" w:hint="default"/>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C45268"/>
    <w:multiLevelType w:val="multilevel"/>
    <w:tmpl w:val="932A34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DE1DBC"/>
    <w:multiLevelType w:val="hybridMultilevel"/>
    <w:tmpl w:val="6E504D64"/>
    <w:lvl w:ilvl="0" w:tplc="645A24E0">
      <w:start w:val="1"/>
      <w:numFmt w:val="decimal"/>
      <w:suff w:val="nothing"/>
      <w:lvlText w:val="%1"/>
      <w:lvlJc w:val="left"/>
      <w:pPr>
        <w:ind w:left="720" w:hanging="360"/>
      </w:pPr>
      <w:rPr>
        <w:rFonts w:ascii="Arial" w:hAnsi="Arial"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AD47DC"/>
    <w:multiLevelType w:val="hybridMultilevel"/>
    <w:tmpl w:val="67C8ED44"/>
    <w:lvl w:ilvl="0" w:tplc="077802E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61A15AB"/>
    <w:multiLevelType w:val="multilevel"/>
    <w:tmpl w:val="E9501E74"/>
    <w:lvl w:ilvl="0">
      <w:start w:val="1"/>
      <w:numFmt w:val="upperRoman"/>
      <w:pStyle w:val="lnky"/>
      <w:suff w:val="nothing"/>
      <w:lvlText w:val="Článok %1"/>
      <w:lvlJc w:val="center"/>
      <w:pPr>
        <w:ind w:left="0" w:firstLine="284"/>
      </w:pPr>
      <w:rPr>
        <w:rFonts w:ascii="Arial" w:hAnsi="Arial" w:hint="default"/>
        <w:b/>
        <w:i w:val="0"/>
        <w:sz w:val="22"/>
      </w:rPr>
    </w:lvl>
    <w:lvl w:ilvl="1">
      <w:start w:val="1"/>
      <w:numFmt w:val="decimal"/>
      <w:pStyle w:val="Podkapitoly"/>
      <w:isLgl/>
      <w:lvlText w:val="%1.%2."/>
      <w:lvlJc w:val="left"/>
      <w:pPr>
        <w:ind w:left="851" w:hanging="567"/>
      </w:pPr>
      <w:rPr>
        <w:rFonts w:hint="default"/>
      </w:rPr>
    </w:lvl>
    <w:lvl w:ilvl="2">
      <w:start w:val="1"/>
      <w:numFmt w:val="lowerLetter"/>
      <w:pStyle w:val="odrka"/>
      <w:lvlText w:val="%3)"/>
      <w:lvlJc w:val="right"/>
      <w:pPr>
        <w:ind w:left="1134"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452BCB"/>
    <w:multiLevelType w:val="multilevel"/>
    <w:tmpl w:val="6A72385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5330F7E"/>
    <w:multiLevelType w:val="multilevel"/>
    <w:tmpl w:val="E9501E74"/>
    <w:lvl w:ilvl="0">
      <w:start w:val="1"/>
      <w:numFmt w:val="upperRoman"/>
      <w:suff w:val="nothing"/>
      <w:lvlText w:val="Článok %1"/>
      <w:lvlJc w:val="center"/>
      <w:pPr>
        <w:ind w:left="0" w:firstLine="284"/>
      </w:pPr>
      <w:rPr>
        <w:rFonts w:ascii="Arial" w:hAnsi="Arial" w:hint="default"/>
        <w:b/>
        <w:i w:val="0"/>
        <w:sz w:val="22"/>
      </w:rPr>
    </w:lvl>
    <w:lvl w:ilvl="1">
      <w:start w:val="1"/>
      <w:numFmt w:val="decimal"/>
      <w:isLgl/>
      <w:lvlText w:val="%1.%2."/>
      <w:lvlJc w:val="left"/>
      <w:pPr>
        <w:ind w:left="851" w:hanging="567"/>
      </w:pPr>
      <w:rPr>
        <w:rFonts w:hint="default"/>
      </w:rPr>
    </w:lvl>
    <w:lvl w:ilvl="2">
      <w:start w:val="1"/>
      <w:numFmt w:val="lowerLetter"/>
      <w:lvlText w:val="%3)"/>
      <w:lvlJc w:val="right"/>
      <w:pPr>
        <w:ind w:left="1134" w:hanging="14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82F264B"/>
    <w:multiLevelType w:val="multilevel"/>
    <w:tmpl w:val="42169DC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nsid w:val="6F9E42F6"/>
    <w:multiLevelType w:val="hybridMultilevel"/>
    <w:tmpl w:val="43BC08DA"/>
    <w:lvl w:ilvl="0" w:tplc="041B0013">
      <w:start w:val="1"/>
      <w:numFmt w:val="upperRoman"/>
      <w:lvlText w:val="%1."/>
      <w:lvlJc w:val="righ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3">
    <w:nsid w:val="75D37455"/>
    <w:multiLevelType w:val="hybridMultilevel"/>
    <w:tmpl w:val="67DCF7BC"/>
    <w:lvl w:ilvl="0" w:tplc="0405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11"/>
  </w:num>
  <w:num w:numId="6">
    <w:abstractNumId w:val="5"/>
  </w:num>
  <w:num w:numId="7">
    <w:abstractNumId w:val="8"/>
    <w:lvlOverride w:ilvl="0">
      <w:startOverride w:val="1"/>
    </w:lvlOverride>
  </w:num>
  <w:num w:numId="8">
    <w:abstractNumId w:val="1"/>
  </w:num>
  <w:num w:numId="9">
    <w:abstractNumId w:val="0"/>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7"/>
  </w:num>
  <w:num w:numId="15">
    <w:abstractNumId w:val="7"/>
    <w:lvlOverride w:ilvl="0">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CE"/>
    <w:rsid w:val="00000B67"/>
    <w:rsid w:val="0004233D"/>
    <w:rsid w:val="000623BF"/>
    <w:rsid w:val="000E1524"/>
    <w:rsid w:val="00107047"/>
    <w:rsid w:val="00111599"/>
    <w:rsid w:val="001254C6"/>
    <w:rsid w:val="00170EB6"/>
    <w:rsid w:val="001E7FC9"/>
    <w:rsid w:val="0024796F"/>
    <w:rsid w:val="002905B7"/>
    <w:rsid w:val="002B1280"/>
    <w:rsid w:val="00310ABC"/>
    <w:rsid w:val="003D6595"/>
    <w:rsid w:val="00413537"/>
    <w:rsid w:val="0045026E"/>
    <w:rsid w:val="00455EB1"/>
    <w:rsid w:val="0049250E"/>
    <w:rsid w:val="004E2842"/>
    <w:rsid w:val="004F5910"/>
    <w:rsid w:val="0057211A"/>
    <w:rsid w:val="005A2F1D"/>
    <w:rsid w:val="005C72DD"/>
    <w:rsid w:val="006B6003"/>
    <w:rsid w:val="006D3BC2"/>
    <w:rsid w:val="00722DF3"/>
    <w:rsid w:val="0077705B"/>
    <w:rsid w:val="0088026B"/>
    <w:rsid w:val="008E4BAF"/>
    <w:rsid w:val="009546BA"/>
    <w:rsid w:val="0098714A"/>
    <w:rsid w:val="009D0E72"/>
    <w:rsid w:val="009F234E"/>
    <w:rsid w:val="00A37AEC"/>
    <w:rsid w:val="00B17929"/>
    <w:rsid w:val="00B23688"/>
    <w:rsid w:val="00B96530"/>
    <w:rsid w:val="00BF7EAA"/>
    <w:rsid w:val="00C97FB3"/>
    <w:rsid w:val="00D01CDA"/>
    <w:rsid w:val="00D20DEF"/>
    <w:rsid w:val="00D36E49"/>
    <w:rsid w:val="00D37453"/>
    <w:rsid w:val="00D62FCE"/>
    <w:rsid w:val="00DE50C8"/>
    <w:rsid w:val="00DF2E81"/>
    <w:rsid w:val="00E12C08"/>
    <w:rsid w:val="00F37956"/>
    <w:rsid w:val="00F425F5"/>
    <w:rsid w:val="00F61705"/>
    <w:rsid w:val="00F90348"/>
    <w:rsid w:val="00FD17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0710B-4F38-41AE-A26F-173F7A4A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2842"/>
  </w:style>
  <w:style w:type="paragraph" w:styleId="Nadpis1">
    <w:name w:val="heading 1"/>
    <w:basedOn w:val="Normlny"/>
    <w:next w:val="Normlny"/>
    <w:link w:val="Nadpis1Char"/>
    <w:uiPriority w:val="9"/>
    <w:qFormat/>
    <w:rsid w:val="00D36E4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D36E4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D36E4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D36E4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D36E4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36E4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36E4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36E4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36E4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D62FCE"/>
    <w:pPr>
      <w:ind w:left="720"/>
      <w:contextualSpacing/>
    </w:pPr>
  </w:style>
  <w:style w:type="paragraph" w:customStyle="1" w:styleId="lnky">
    <w:name w:val="Články"/>
    <w:basedOn w:val="Odsekzoznamu"/>
    <w:link w:val="lnkyChar"/>
    <w:qFormat/>
    <w:rsid w:val="00D36E49"/>
    <w:pPr>
      <w:numPr>
        <w:numId w:val="1"/>
      </w:numPr>
      <w:spacing w:after="0"/>
      <w:jc w:val="center"/>
    </w:pPr>
    <w:rPr>
      <w:rFonts w:ascii="Arial" w:hAnsi="Arial" w:cs="Arial"/>
      <w:sz w:val="20"/>
      <w:szCs w:val="20"/>
    </w:rPr>
  </w:style>
  <w:style w:type="character" w:customStyle="1" w:styleId="Nadpis1Char">
    <w:name w:val="Nadpis 1 Char"/>
    <w:basedOn w:val="Predvolenpsmoodseku"/>
    <w:link w:val="Nadpis1"/>
    <w:uiPriority w:val="9"/>
    <w:rsid w:val="00D36E49"/>
    <w:rPr>
      <w:rFonts w:asciiTheme="majorHAnsi" w:eastAsiaTheme="majorEastAsia" w:hAnsiTheme="majorHAnsi" w:cstheme="majorBidi"/>
      <w:b/>
      <w:bCs/>
      <w:color w:val="365F91" w:themeColor="accent1" w:themeShade="BF"/>
      <w:sz w:val="28"/>
      <w:szCs w:val="28"/>
    </w:rPr>
  </w:style>
  <w:style w:type="character" w:customStyle="1" w:styleId="OdsekzoznamuChar">
    <w:name w:val="Odsek zoznamu Char"/>
    <w:basedOn w:val="Predvolenpsmoodseku"/>
    <w:link w:val="Odsekzoznamu"/>
    <w:uiPriority w:val="34"/>
    <w:rsid w:val="00D36E49"/>
  </w:style>
  <w:style w:type="character" w:customStyle="1" w:styleId="lnkyChar">
    <w:name w:val="Články Char"/>
    <w:basedOn w:val="OdsekzoznamuChar"/>
    <w:link w:val="lnky"/>
    <w:rsid w:val="00D36E49"/>
    <w:rPr>
      <w:rFonts w:ascii="Arial" w:hAnsi="Arial" w:cs="Arial"/>
      <w:sz w:val="20"/>
      <w:szCs w:val="20"/>
    </w:rPr>
  </w:style>
  <w:style w:type="character" w:customStyle="1" w:styleId="Nadpis2Char">
    <w:name w:val="Nadpis 2 Char"/>
    <w:basedOn w:val="Predvolenpsmoodseku"/>
    <w:link w:val="Nadpis2"/>
    <w:uiPriority w:val="9"/>
    <w:rsid w:val="00D36E4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D36E4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D36E49"/>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D36E49"/>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D36E49"/>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D36E4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D36E4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36E49"/>
    <w:rPr>
      <w:rFonts w:asciiTheme="majorHAnsi" w:eastAsiaTheme="majorEastAsia" w:hAnsiTheme="majorHAnsi" w:cstheme="majorBidi"/>
      <w:i/>
      <w:iCs/>
      <w:color w:val="404040" w:themeColor="text1" w:themeTint="BF"/>
      <w:sz w:val="20"/>
      <w:szCs w:val="20"/>
    </w:rPr>
  </w:style>
  <w:style w:type="paragraph" w:customStyle="1" w:styleId="Podkapitoly">
    <w:name w:val="Podkapitoly"/>
    <w:basedOn w:val="Nadpis2"/>
    <w:link w:val="PodkapitolyChar"/>
    <w:qFormat/>
    <w:rsid w:val="00D01CDA"/>
    <w:pPr>
      <w:keepNext w:val="0"/>
      <w:keepLines w:val="0"/>
      <w:numPr>
        <w:numId w:val="1"/>
      </w:numPr>
      <w:spacing w:before="0" w:after="120" w:line="240" w:lineRule="auto"/>
    </w:pPr>
    <w:rPr>
      <w:rFonts w:ascii="Arial" w:hAnsi="Arial" w:cs="Arial"/>
      <w:b w:val="0"/>
      <w:color w:val="auto"/>
      <w:sz w:val="20"/>
      <w:szCs w:val="20"/>
    </w:rPr>
  </w:style>
  <w:style w:type="character" w:styleId="Hypertextovprepojenie">
    <w:name w:val="Hyperlink"/>
    <w:basedOn w:val="Predvolenpsmoodseku"/>
    <w:uiPriority w:val="99"/>
    <w:unhideWhenUsed/>
    <w:rsid w:val="00170EB6"/>
    <w:rPr>
      <w:color w:val="0000FF" w:themeColor="hyperlink"/>
      <w:u w:val="single"/>
    </w:rPr>
  </w:style>
  <w:style w:type="character" w:customStyle="1" w:styleId="PodkapitolyChar">
    <w:name w:val="Podkapitoly Char"/>
    <w:basedOn w:val="Nadpis2Char"/>
    <w:link w:val="Podkapitoly"/>
    <w:rsid w:val="00D01CDA"/>
    <w:rPr>
      <w:rFonts w:ascii="Arial" w:eastAsiaTheme="majorEastAsia" w:hAnsi="Arial" w:cs="Arial"/>
      <w:b/>
      <w:bCs/>
      <w:color w:val="4F81BD" w:themeColor="accent1"/>
      <w:sz w:val="20"/>
      <w:szCs w:val="20"/>
    </w:rPr>
  </w:style>
  <w:style w:type="paragraph" w:styleId="Hlavika">
    <w:name w:val="header"/>
    <w:basedOn w:val="Normlny"/>
    <w:link w:val="HlavikaChar"/>
    <w:uiPriority w:val="99"/>
    <w:semiHidden/>
    <w:unhideWhenUsed/>
    <w:rsid w:val="00D01CDA"/>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01CDA"/>
  </w:style>
  <w:style w:type="paragraph" w:styleId="Pta">
    <w:name w:val="footer"/>
    <w:basedOn w:val="Normlny"/>
    <w:link w:val="PtaChar"/>
    <w:uiPriority w:val="99"/>
    <w:semiHidden/>
    <w:unhideWhenUsed/>
    <w:rsid w:val="00D01CDA"/>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01CDA"/>
  </w:style>
  <w:style w:type="paragraph" w:styleId="Zkladntext">
    <w:name w:val="Body Text"/>
    <w:basedOn w:val="Normlny"/>
    <w:link w:val="ZkladntextChar"/>
    <w:unhideWhenUsed/>
    <w:rsid w:val="008E4BAF"/>
    <w:pPr>
      <w:spacing w:after="0" w:line="240" w:lineRule="auto"/>
    </w:pPr>
    <w:rPr>
      <w:rFonts w:ascii="TKTypeMedium" w:eastAsia="Times New Roman" w:hAnsi="TKTypeMedium" w:cs="Times New Roman"/>
      <w:b/>
      <w:sz w:val="16"/>
      <w:szCs w:val="20"/>
      <w:lang w:val="en-GB" w:eastAsia="sk-SK"/>
    </w:rPr>
  </w:style>
  <w:style w:type="character" w:customStyle="1" w:styleId="ZkladntextChar">
    <w:name w:val="Základný text Char"/>
    <w:basedOn w:val="Predvolenpsmoodseku"/>
    <w:link w:val="Zkladntext"/>
    <w:rsid w:val="008E4BAF"/>
    <w:rPr>
      <w:rFonts w:ascii="TKTypeMedium" w:eastAsia="Times New Roman" w:hAnsi="TKTypeMedium" w:cs="Times New Roman"/>
      <w:b/>
      <w:sz w:val="16"/>
      <w:szCs w:val="20"/>
      <w:lang w:val="en-GB" w:eastAsia="sk-SK"/>
    </w:rPr>
  </w:style>
  <w:style w:type="paragraph" w:styleId="Zarkazkladnhotextu">
    <w:name w:val="Body Text Indent"/>
    <w:basedOn w:val="Normlny"/>
    <w:link w:val="ZarkazkladnhotextuChar"/>
    <w:rsid w:val="008E4BAF"/>
    <w:pPr>
      <w:spacing w:after="120"/>
      <w:ind w:left="283"/>
    </w:pPr>
    <w:rPr>
      <w:rFonts w:ascii="Calibri" w:eastAsia="Times New Roman" w:hAnsi="Calibri" w:cs="Times New Roman"/>
      <w:lang w:eastAsia="sk-SK"/>
    </w:rPr>
  </w:style>
  <w:style w:type="character" w:customStyle="1" w:styleId="ZarkazkladnhotextuChar">
    <w:name w:val="Zarážka základného textu Char"/>
    <w:basedOn w:val="Predvolenpsmoodseku"/>
    <w:link w:val="Zarkazkladnhotextu"/>
    <w:rsid w:val="008E4BAF"/>
    <w:rPr>
      <w:rFonts w:ascii="Calibri" w:eastAsia="Times New Roman" w:hAnsi="Calibri" w:cs="Times New Roman"/>
      <w:lang w:eastAsia="sk-SK"/>
    </w:rPr>
  </w:style>
  <w:style w:type="paragraph" w:customStyle="1" w:styleId="odrka">
    <w:name w:val="odrážka"/>
    <w:basedOn w:val="Podkapitoly"/>
    <w:link w:val="odrkaChar"/>
    <w:qFormat/>
    <w:rsid w:val="0024796F"/>
    <w:pPr>
      <w:numPr>
        <w:ilvl w:val="2"/>
      </w:numPr>
      <w:jc w:val="both"/>
    </w:pPr>
  </w:style>
  <w:style w:type="character" w:customStyle="1" w:styleId="odrkaChar">
    <w:name w:val="odrážka Char"/>
    <w:basedOn w:val="PodkapitolyChar"/>
    <w:link w:val="odrka"/>
    <w:rsid w:val="0024796F"/>
    <w:rPr>
      <w:rFonts w:ascii="Arial" w:eastAsiaTheme="majorEastAsia" w:hAnsi="Arial" w:cs="Arial"/>
      <w:b/>
      <w:bCs/>
      <w:color w:val="4F81BD" w:themeColor="accent1"/>
      <w:sz w:val="20"/>
      <w:szCs w:val="20"/>
    </w:rPr>
  </w:style>
  <w:style w:type="numbering" w:customStyle="1" w:styleId="Zmluvylnky">
    <w:name w:val="Zmluvy_Články"/>
    <w:uiPriority w:val="99"/>
    <w:rsid w:val="005A2F1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so.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75DCC-FB20-49C4-B7C7-49A582AF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4548</Words>
  <Characters>25925</Characters>
  <Application>Microsoft Office Word</Application>
  <DocSecurity>0</DocSecurity>
  <Lines>216</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cizmarova</dc:creator>
  <cp:lastModifiedBy>A Igondová</cp:lastModifiedBy>
  <cp:revision>3</cp:revision>
  <dcterms:created xsi:type="dcterms:W3CDTF">2014-12-09T06:32:00Z</dcterms:created>
  <dcterms:modified xsi:type="dcterms:W3CDTF">2014-12-09T14:01:00Z</dcterms:modified>
</cp:coreProperties>
</file>